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949C4" w14:textId="3E443713" w:rsidR="00116B51" w:rsidRPr="00DA12F7" w:rsidRDefault="00116B51" w:rsidP="00116B51">
      <w:pPr>
        <w:tabs>
          <w:tab w:val="right" w:pos="9630"/>
        </w:tabs>
        <w:spacing w:after="0"/>
      </w:pPr>
      <w:bookmarkStart w:id="0" w:name="_GoBack"/>
      <w:bookmarkEnd w:id="0"/>
      <w:r w:rsidRPr="00DA12F7">
        <w:rPr>
          <w:rFonts w:ascii="Arial" w:hAnsi="Arial" w:cs="Arial"/>
          <w:b/>
          <w:sz w:val="24"/>
        </w:rPr>
        <w:t>3GPP TSG RAN WG1 #</w:t>
      </w:r>
      <w:r w:rsidR="004A7390">
        <w:rPr>
          <w:rFonts w:ascii="Arial" w:hAnsi="Arial" w:cs="Arial"/>
          <w:b/>
          <w:sz w:val="24"/>
        </w:rPr>
        <w:t>88</w:t>
      </w:r>
      <w:r w:rsidR="002C57BB">
        <w:rPr>
          <w:rFonts w:ascii="Arial" w:hAnsi="Arial" w:cs="Arial"/>
          <w:b/>
          <w:sz w:val="24"/>
        </w:rPr>
        <w:t>bis</w:t>
      </w:r>
      <w:r w:rsidRPr="00DA12F7">
        <w:rPr>
          <w:rFonts w:ascii="Arial" w:hAnsi="Arial" w:cs="Arial"/>
          <w:b/>
          <w:sz w:val="24"/>
        </w:rPr>
        <w:tab/>
        <w:t>R1-</w:t>
      </w:r>
      <w:r w:rsidR="004A7390">
        <w:rPr>
          <w:rFonts w:ascii="Arial" w:hAnsi="Arial" w:cs="Arial"/>
          <w:b/>
          <w:sz w:val="24"/>
        </w:rPr>
        <w:t>17</w:t>
      </w:r>
      <w:r w:rsidR="00E7048B">
        <w:rPr>
          <w:rFonts w:ascii="Arial" w:hAnsi="Arial" w:cs="Arial"/>
          <w:b/>
          <w:sz w:val="24"/>
        </w:rPr>
        <w:t>05603</w:t>
      </w:r>
    </w:p>
    <w:p w14:paraId="50FFBAF8" w14:textId="59041039" w:rsidR="00116B51" w:rsidRPr="00DA12F7" w:rsidRDefault="002C57BB" w:rsidP="00116B51">
      <w:pPr>
        <w:tabs>
          <w:tab w:val="right" w:pos="9630"/>
        </w:tabs>
        <w:spacing w:after="0"/>
        <w:rPr>
          <w:rFonts w:ascii="Arial" w:hAnsi="Arial" w:cs="Arial"/>
          <w:b/>
          <w:sz w:val="24"/>
          <w:szCs w:val="24"/>
        </w:rPr>
      </w:pPr>
      <w:r>
        <w:rPr>
          <w:rFonts w:ascii="Arial" w:hAnsi="Arial" w:cs="Arial"/>
          <w:b/>
          <w:sz w:val="24"/>
          <w:szCs w:val="24"/>
        </w:rPr>
        <w:t>April</w:t>
      </w:r>
      <w:r w:rsidR="00116B51">
        <w:rPr>
          <w:rFonts w:ascii="Arial" w:hAnsi="Arial" w:cs="Arial"/>
          <w:b/>
          <w:sz w:val="24"/>
          <w:szCs w:val="24"/>
        </w:rPr>
        <w:t xml:space="preserve"> </w:t>
      </w:r>
      <w:r w:rsidR="004A7390">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 </w:t>
      </w:r>
      <w:r w:rsidR="004A7390">
        <w:rPr>
          <w:rFonts w:ascii="Arial" w:hAnsi="Arial" w:cs="Arial"/>
          <w:b/>
          <w:sz w:val="24"/>
          <w:szCs w:val="24"/>
        </w:rPr>
        <w:t>7</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765D7C0B" w:rsidR="00116B51" w:rsidRPr="00DA12F7" w:rsidRDefault="002C57BB" w:rsidP="00116B51">
      <w:pPr>
        <w:rPr>
          <w:rFonts w:ascii="Arial" w:hAnsi="Arial" w:cs="Arial"/>
          <w:b/>
          <w:sz w:val="24"/>
          <w:szCs w:val="24"/>
        </w:rPr>
      </w:pPr>
      <w:r>
        <w:rPr>
          <w:rFonts w:ascii="Arial" w:hAnsi="Arial" w:cs="Arial"/>
          <w:b/>
          <w:sz w:val="24"/>
          <w:szCs w:val="24"/>
        </w:rPr>
        <w:t>Spokane</w:t>
      </w:r>
      <w:r w:rsidR="00116B51">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1E2AB55"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FF4FC8">
        <w:rPr>
          <w:rFonts w:ascii="Arial" w:hAnsi="Arial"/>
          <w:sz w:val="24"/>
        </w:rPr>
        <w:t>8.1.3.1.</w:t>
      </w:r>
      <w:r w:rsidR="002C57BB">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256068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F4FC8" w:rsidRPr="00FF4FC8">
        <w:rPr>
          <w:rFonts w:ascii="Arial" w:hAnsi="Arial"/>
          <w:sz w:val="24"/>
        </w:rPr>
        <w:t>PDCCH structure</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23D45FE8" w:rsidR="00491EEE" w:rsidRDefault="00FD6A3D" w:rsidP="00491EEE">
      <w:pPr>
        <w:pStyle w:val="Heading1"/>
      </w:pPr>
      <w:r w:rsidRPr="00CC27F5">
        <w:t>1</w:t>
      </w:r>
      <w:r w:rsidRPr="00CC27F5">
        <w:tab/>
      </w:r>
      <w:r w:rsidR="00B209B5" w:rsidRPr="00CC27F5">
        <w:t>Introduction</w:t>
      </w:r>
    </w:p>
    <w:p w14:paraId="25701522" w14:textId="4C93FE28" w:rsidR="00093582" w:rsidRPr="00093582" w:rsidRDefault="00093582" w:rsidP="00093582">
      <w:pPr>
        <w:rPr>
          <w:lang w:val="en-GB"/>
        </w:rPr>
      </w:pPr>
      <w:r>
        <w:rPr>
          <w:lang w:val="en-GB"/>
        </w:rPr>
        <w:t xml:space="preserve">In </w:t>
      </w:r>
      <w:r w:rsidR="004A70E3">
        <w:rPr>
          <w:lang w:val="en-GB"/>
        </w:rPr>
        <w:t>RAN1 #88</w:t>
      </w:r>
      <w:r>
        <w:rPr>
          <w:lang w:val="en-GB"/>
        </w:rPr>
        <w:t>, the following agreement</w:t>
      </w:r>
      <w:r w:rsidR="004A70E3">
        <w:rPr>
          <w:lang w:val="en-GB"/>
        </w:rPr>
        <w:t>s</w:t>
      </w:r>
      <w:r>
        <w:rPr>
          <w:lang w:val="en-GB"/>
        </w:rPr>
        <w:t xml:space="preserve"> </w:t>
      </w:r>
      <w:r w:rsidR="004A70E3">
        <w:rPr>
          <w:lang w:val="en-GB"/>
        </w:rPr>
        <w:t>were</w:t>
      </w:r>
      <w:r>
        <w:rPr>
          <w:lang w:val="en-GB"/>
        </w:rPr>
        <w:t xml:space="preserve"> reached:</w:t>
      </w:r>
    </w:p>
    <w:p w14:paraId="2AF2146C" w14:textId="77777777" w:rsidR="004A70E3" w:rsidRPr="00AF1296" w:rsidRDefault="004A70E3" w:rsidP="004A70E3">
      <w:pPr>
        <w:rPr>
          <w:rFonts w:eastAsia="MS Mincho"/>
          <w:lang w:eastAsia="ja-JP"/>
        </w:rPr>
      </w:pPr>
      <w:r w:rsidRPr="00AF1296">
        <w:rPr>
          <w:rFonts w:eastAsia="MS Mincho"/>
          <w:highlight w:val="green"/>
          <w:lang w:eastAsia="ja-JP"/>
        </w:rPr>
        <w:t>Agreements</w:t>
      </w:r>
      <w:r w:rsidRPr="00AF1296">
        <w:rPr>
          <w:rFonts w:eastAsia="MS Mincho"/>
          <w:lang w:eastAsia="ja-JP"/>
        </w:rPr>
        <w:t>:</w:t>
      </w:r>
    </w:p>
    <w:p w14:paraId="2406315A" w14:textId="77777777" w:rsidR="004A70E3" w:rsidRPr="004A70E3" w:rsidRDefault="004A70E3" w:rsidP="004A70E3">
      <w:pPr>
        <w:pStyle w:val="ListParagraph"/>
        <w:numPr>
          <w:ilvl w:val="0"/>
          <w:numId w:val="36"/>
        </w:numPr>
        <w:spacing w:after="200" w:line="276" w:lineRule="auto"/>
        <w:rPr>
          <w:sz w:val="20"/>
          <w:szCs w:val="20"/>
        </w:rPr>
      </w:pPr>
      <w:r w:rsidRPr="004A70E3">
        <w:rPr>
          <w:sz w:val="20"/>
          <w:szCs w:val="20"/>
        </w:rPr>
        <w:t>NR-PDCCH can be mapped contiguously or non-contiguously in frequency</w:t>
      </w:r>
    </w:p>
    <w:p w14:paraId="1CA0136D" w14:textId="77777777" w:rsidR="004A70E3" w:rsidRPr="004A70E3" w:rsidRDefault="004A70E3" w:rsidP="004A70E3">
      <w:pPr>
        <w:pStyle w:val="ListParagraph"/>
        <w:numPr>
          <w:ilvl w:val="0"/>
          <w:numId w:val="36"/>
        </w:numPr>
        <w:spacing w:after="200" w:line="276" w:lineRule="auto"/>
        <w:rPr>
          <w:sz w:val="20"/>
          <w:szCs w:val="20"/>
        </w:rPr>
      </w:pPr>
      <w:r w:rsidRPr="004A70E3">
        <w:rPr>
          <w:sz w:val="20"/>
          <w:szCs w:val="20"/>
        </w:rPr>
        <w:t>The following may be considered to achieve the above (in the physical domain)</w:t>
      </w:r>
    </w:p>
    <w:p w14:paraId="44160C3F" w14:textId="77777777" w:rsidR="004A70E3" w:rsidRPr="004A70E3" w:rsidRDefault="004A70E3" w:rsidP="004A70E3">
      <w:pPr>
        <w:pStyle w:val="ListParagraph"/>
        <w:numPr>
          <w:ilvl w:val="1"/>
          <w:numId w:val="36"/>
        </w:numPr>
        <w:spacing w:after="200" w:line="276" w:lineRule="auto"/>
        <w:rPr>
          <w:sz w:val="20"/>
          <w:szCs w:val="20"/>
        </w:rPr>
      </w:pPr>
      <w:r w:rsidRPr="004A70E3">
        <w:rPr>
          <w:sz w:val="20"/>
          <w:szCs w:val="20"/>
        </w:rPr>
        <w:t xml:space="preserve">Option 1: Localized or distributed mapping of REGs to a CCE. </w:t>
      </w:r>
    </w:p>
    <w:p w14:paraId="1CE0A9F3" w14:textId="77777777" w:rsidR="004A70E3" w:rsidRPr="004A70E3" w:rsidRDefault="004A70E3" w:rsidP="004A70E3">
      <w:pPr>
        <w:pStyle w:val="ListParagraph"/>
        <w:numPr>
          <w:ilvl w:val="1"/>
          <w:numId w:val="36"/>
        </w:numPr>
        <w:spacing w:after="200" w:line="276" w:lineRule="auto"/>
        <w:rPr>
          <w:sz w:val="20"/>
          <w:szCs w:val="20"/>
        </w:rPr>
      </w:pPr>
      <w:r w:rsidRPr="004A70E3">
        <w:rPr>
          <w:sz w:val="20"/>
          <w:szCs w:val="20"/>
        </w:rPr>
        <w:t>Option 2: Localized mapping of REGs to a CCE. Localized or distributed mapping of CCEs when multiple CCEs are needed for an NR-PDCCH</w:t>
      </w:r>
    </w:p>
    <w:p w14:paraId="71E499AE" w14:textId="77777777" w:rsidR="004A70E3" w:rsidRPr="004A70E3" w:rsidRDefault="004A70E3" w:rsidP="004A70E3">
      <w:pPr>
        <w:pStyle w:val="ListParagraph"/>
        <w:numPr>
          <w:ilvl w:val="1"/>
          <w:numId w:val="36"/>
        </w:numPr>
        <w:spacing w:after="200" w:line="276" w:lineRule="auto"/>
        <w:rPr>
          <w:sz w:val="20"/>
          <w:szCs w:val="20"/>
        </w:rPr>
      </w:pPr>
      <w:r w:rsidRPr="004A70E3">
        <w:rPr>
          <w:sz w:val="20"/>
          <w:szCs w:val="20"/>
        </w:rPr>
        <w:t>Down-selection between Opt 1 and Opt 2 should be further discussed</w:t>
      </w:r>
    </w:p>
    <w:p w14:paraId="69E89036" w14:textId="77777777" w:rsidR="004A70E3" w:rsidRPr="004A70E3" w:rsidRDefault="004A70E3" w:rsidP="004A70E3">
      <w:pPr>
        <w:pStyle w:val="ListParagraph"/>
        <w:numPr>
          <w:ilvl w:val="2"/>
          <w:numId w:val="36"/>
        </w:numPr>
        <w:spacing w:after="200" w:line="276" w:lineRule="auto"/>
        <w:rPr>
          <w:sz w:val="20"/>
          <w:szCs w:val="20"/>
        </w:rPr>
      </w:pPr>
      <w:r w:rsidRPr="004A70E3">
        <w:rPr>
          <w:sz w:val="20"/>
          <w:szCs w:val="20"/>
        </w:rPr>
        <w:t>Companies are encouraged to perform evaluations considering aspects such as channel estimation, frequency diversity, impact of resource reuse for NR-PDSCH, etc., especially for one CCE case</w:t>
      </w:r>
    </w:p>
    <w:p w14:paraId="19F145F4" w14:textId="77777777" w:rsidR="004A70E3" w:rsidRPr="00CD7B77" w:rsidRDefault="004A70E3" w:rsidP="004A70E3">
      <w:pPr>
        <w:rPr>
          <w:rFonts w:eastAsia="MS Mincho"/>
          <w:lang w:eastAsia="ja-JP"/>
        </w:rPr>
      </w:pPr>
      <w:r w:rsidRPr="00CD7B77">
        <w:rPr>
          <w:rFonts w:eastAsia="MS Mincho"/>
          <w:highlight w:val="green"/>
          <w:lang w:eastAsia="ja-JP"/>
        </w:rPr>
        <w:t>Agreements</w:t>
      </w:r>
      <w:r w:rsidRPr="00CD7B77">
        <w:rPr>
          <w:rFonts w:eastAsia="MS Mincho"/>
          <w:lang w:eastAsia="ja-JP"/>
        </w:rPr>
        <w:t>:</w:t>
      </w:r>
    </w:p>
    <w:p w14:paraId="58156F6A" w14:textId="77777777" w:rsidR="004A70E3" w:rsidRPr="004A70E3" w:rsidRDefault="004A70E3" w:rsidP="004A70E3">
      <w:pPr>
        <w:pStyle w:val="ListParagraph"/>
        <w:numPr>
          <w:ilvl w:val="0"/>
          <w:numId w:val="37"/>
        </w:numPr>
        <w:spacing w:after="200" w:line="276" w:lineRule="auto"/>
        <w:rPr>
          <w:sz w:val="20"/>
          <w:szCs w:val="20"/>
        </w:rPr>
      </w:pPr>
      <w:r w:rsidRPr="004A70E3">
        <w:rPr>
          <w:sz w:val="20"/>
          <w:szCs w:val="20"/>
        </w:rPr>
        <w:t>FFS details of mapping of NR-PDCCH in time and frequency, considering the following options:</w:t>
      </w:r>
    </w:p>
    <w:p w14:paraId="4960242D" w14:textId="77777777" w:rsidR="004A70E3" w:rsidRPr="004A70E3" w:rsidRDefault="004A70E3" w:rsidP="004A70E3">
      <w:pPr>
        <w:pStyle w:val="ListParagraph"/>
        <w:numPr>
          <w:ilvl w:val="1"/>
          <w:numId w:val="37"/>
        </w:numPr>
        <w:spacing w:after="200" w:line="276" w:lineRule="auto"/>
        <w:rPr>
          <w:sz w:val="20"/>
          <w:szCs w:val="20"/>
        </w:rPr>
      </w:pPr>
      <w:r w:rsidRPr="004A70E3">
        <w:rPr>
          <w:sz w:val="20"/>
          <w:szCs w:val="20"/>
        </w:rPr>
        <w:t xml:space="preserve">Frequency first mapping of REGs to CCEs, frequency first mapping of CCEs to search space candidate </w:t>
      </w:r>
    </w:p>
    <w:p w14:paraId="0858B70E" w14:textId="77777777" w:rsidR="004A70E3" w:rsidRPr="004A70E3" w:rsidRDefault="004A70E3" w:rsidP="004A70E3">
      <w:pPr>
        <w:pStyle w:val="ListParagraph"/>
        <w:numPr>
          <w:ilvl w:val="1"/>
          <w:numId w:val="37"/>
        </w:numPr>
        <w:spacing w:after="200" w:line="276" w:lineRule="auto"/>
        <w:rPr>
          <w:sz w:val="20"/>
          <w:szCs w:val="20"/>
        </w:rPr>
      </w:pPr>
      <w:r w:rsidRPr="004A70E3">
        <w:rPr>
          <w:sz w:val="20"/>
          <w:szCs w:val="20"/>
        </w:rPr>
        <w:t>Time first mapping of REGs to CCEs, time first mapping of CCEs to search space candidate</w:t>
      </w:r>
    </w:p>
    <w:p w14:paraId="4E734C5B" w14:textId="77777777" w:rsidR="004A70E3" w:rsidRPr="004A70E3" w:rsidRDefault="004A70E3" w:rsidP="004A70E3">
      <w:pPr>
        <w:pStyle w:val="ListParagraph"/>
        <w:numPr>
          <w:ilvl w:val="1"/>
          <w:numId w:val="37"/>
        </w:numPr>
        <w:spacing w:after="200" w:line="276" w:lineRule="auto"/>
        <w:rPr>
          <w:sz w:val="20"/>
          <w:szCs w:val="20"/>
        </w:rPr>
      </w:pPr>
      <w:r w:rsidRPr="004A70E3">
        <w:rPr>
          <w:sz w:val="20"/>
          <w:szCs w:val="20"/>
        </w:rPr>
        <w:t>Frequency first mapping of REGs to CCEs, time first mapping of CCEs to search space candidate</w:t>
      </w:r>
    </w:p>
    <w:p w14:paraId="384528B5" w14:textId="77777777" w:rsidR="004A70E3" w:rsidRPr="004A70E3" w:rsidRDefault="004A70E3" w:rsidP="004A70E3">
      <w:pPr>
        <w:pStyle w:val="ListParagraph"/>
        <w:numPr>
          <w:ilvl w:val="1"/>
          <w:numId w:val="37"/>
        </w:numPr>
        <w:spacing w:after="200" w:line="276" w:lineRule="auto"/>
        <w:rPr>
          <w:sz w:val="20"/>
          <w:szCs w:val="20"/>
        </w:rPr>
      </w:pPr>
      <w:r w:rsidRPr="004A70E3">
        <w:rPr>
          <w:sz w:val="20"/>
          <w:szCs w:val="20"/>
        </w:rPr>
        <w:t>Time first mapping of REGs to CCEs, frequency first mapping of CCEs to search space candidate</w:t>
      </w:r>
    </w:p>
    <w:p w14:paraId="503785F0" w14:textId="77777777" w:rsidR="004A70E3" w:rsidRPr="004A70E3" w:rsidRDefault="004A70E3" w:rsidP="004A70E3">
      <w:pPr>
        <w:pStyle w:val="ListParagraph"/>
        <w:numPr>
          <w:ilvl w:val="1"/>
          <w:numId w:val="37"/>
        </w:numPr>
        <w:spacing w:after="200" w:line="276" w:lineRule="auto"/>
        <w:rPr>
          <w:sz w:val="20"/>
          <w:szCs w:val="20"/>
        </w:rPr>
      </w:pPr>
      <w:r w:rsidRPr="004A70E3">
        <w:rPr>
          <w:sz w:val="20"/>
          <w:szCs w:val="20"/>
        </w:rPr>
        <w:t>Down-selection should be discussed, including of the number of supported option(s)</w:t>
      </w:r>
    </w:p>
    <w:p w14:paraId="7CC77D76" w14:textId="77777777" w:rsidR="004A70E3" w:rsidRDefault="00093582" w:rsidP="00093582">
      <w:r>
        <w:t xml:space="preserve">In this paper, we </w:t>
      </w:r>
      <w:r w:rsidR="004A70E3">
        <w:t>propose some down-selection of the available options.</w:t>
      </w:r>
    </w:p>
    <w:p w14:paraId="488AD007" w14:textId="3F27B7BF" w:rsidR="00491EEE" w:rsidRDefault="00491EEE" w:rsidP="00F30894">
      <w:pPr>
        <w:pStyle w:val="Heading1"/>
        <w:jc w:val="both"/>
      </w:pPr>
      <w:r w:rsidRPr="00CC27F5">
        <w:t>2</w:t>
      </w:r>
      <w:r w:rsidRPr="00CC27F5">
        <w:tab/>
      </w:r>
      <w:r w:rsidR="004A7390">
        <w:t>Discussion</w:t>
      </w:r>
    </w:p>
    <w:p w14:paraId="130AFE85" w14:textId="56702DF7" w:rsidR="00450E02" w:rsidRDefault="00450E02" w:rsidP="0075170D">
      <w:pPr>
        <w:rPr>
          <w:lang w:val="en-GB"/>
        </w:rPr>
      </w:pPr>
      <w:r>
        <w:rPr>
          <w:lang w:val="en-GB"/>
        </w:rPr>
        <w:t>To support mapping NR-PDCCH contiguously and non-contiguously in frequency domain, two options were considered in RAN1 #88:</w:t>
      </w:r>
    </w:p>
    <w:p w14:paraId="4A73EB98" w14:textId="77777777" w:rsidR="00450E02" w:rsidRPr="00450E02" w:rsidRDefault="00450E02" w:rsidP="00450E02">
      <w:pPr>
        <w:pStyle w:val="bullet"/>
        <w:numPr>
          <w:ilvl w:val="0"/>
          <w:numId w:val="38"/>
        </w:numPr>
      </w:pPr>
      <w:r w:rsidRPr="00450E02">
        <w:t xml:space="preserve">Option 1: Localized or distributed mapping of REGs to a CCE. </w:t>
      </w:r>
    </w:p>
    <w:p w14:paraId="5C220A79" w14:textId="77777777" w:rsidR="00450E02" w:rsidRPr="00450E02" w:rsidRDefault="00450E02" w:rsidP="00450E02">
      <w:pPr>
        <w:pStyle w:val="bullet"/>
        <w:numPr>
          <w:ilvl w:val="0"/>
          <w:numId w:val="38"/>
        </w:numPr>
      </w:pPr>
      <w:r w:rsidRPr="00450E02">
        <w:t>Option 2: Localized mapping of REGs to a CCE. Localized or distributed mapping of CCEs when multiple CCEs are needed for an NR-PDCCH</w:t>
      </w:r>
    </w:p>
    <w:p w14:paraId="2955A577" w14:textId="73418D32" w:rsidR="00D038A2" w:rsidRDefault="00D038A2" w:rsidP="0075170D">
      <w:r>
        <w:t xml:space="preserve">For option 1, a few clarifications are needed. When distributed CCE to REG mapping is used, we believe it does not mean all REGs in a CCE are mutually discontinuous in frequency domain. To achieve reasonable channel estimation quality, some level of REG bundling is needed. Then in option 1, distributed CCE to REG mapping should actually mean distributed CCE to REG bundling mapping with REG bundling size is being studied. </w:t>
      </w:r>
    </w:p>
    <w:p w14:paraId="28A037EC" w14:textId="74C61908" w:rsidR="00450E02" w:rsidRDefault="00450E02" w:rsidP="0075170D">
      <w:r>
        <w:t>A main problem with option 2 is, for an aggregation level 1 decoding candidate, there is no frequency diversity possible</w:t>
      </w:r>
      <w:r w:rsidR="00DB1382">
        <w:t xml:space="preserve"> as shown in [1]</w:t>
      </w:r>
      <w:r>
        <w:t xml:space="preserve">. </w:t>
      </w:r>
      <w:r w:rsidR="00D038A2">
        <w:t xml:space="preserve">On the other hand, if time-first CCE to REG mapping adopted, in frequency domain, each CCE may </w:t>
      </w:r>
      <w:r w:rsidR="00D038A2">
        <w:lastRenderedPageBreak/>
        <w:t xml:space="preserve">not have more than one REG bundles. Then it is inevitable to have a localized CCE to REG mapping. </w:t>
      </w:r>
      <w:r w:rsidR="008202C9">
        <w:t xml:space="preserve">We believe this is the only case that a localize CCE to REG mapping is used when we attempt to map NR-PDCCH non-contiguously in frequency domain. </w:t>
      </w:r>
    </w:p>
    <w:p w14:paraId="4494F851" w14:textId="6C176038" w:rsidR="00D038A2" w:rsidRDefault="0030305A" w:rsidP="0075170D">
      <w:r>
        <w:t>To summarize, we propose the following language for localized and distributed NR-PDCCH support:</w:t>
      </w:r>
    </w:p>
    <w:p w14:paraId="229786F1" w14:textId="4F5B56B0" w:rsidR="0030305A" w:rsidRPr="008202C9" w:rsidRDefault="0030305A" w:rsidP="0030305A">
      <w:pPr>
        <w:rPr>
          <w:b/>
        </w:rPr>
      </w:pPr>
      <w:bookmarkStart w:id="3" w:name="p1"/>
      <w:r w:rsidRPr="008202C9">
        <w:rPr>
          <w:b/>
        </w:rPr>
        <w:t xml:space="preserve">Proposal </w:t>
      </w:r>
      <w:r w:rsidRPr="008202C9">
        <w:rPr>
          <w:b/>
        </w:rPr>
        <w:fldChar w:fldCharType="begin"/>
      </w:r>
      <w:r w:rsidRPr="008202C9">
        <w:rPr>
          <w:b/>
        </w:rPr>
        <w:instrText xml:space="preserve"> seq prop </w:instrText>
      </w:r>
      <w:r w:rsidRPr="008202C9">
        <w:rPr>
          <w:b/>
        </w:rPr>
        <w:fldChar w:fldCharType="separate"/>
      </w:r>
      <w:r w:rsidR="00D74635">
        <w:rPr>
          <w:b/>
          <w:noProof/>
        </w:rPr>
        <w:t>1</w:t>
      </w:r>
      <w:r w:rsidRPr="008202C9">
        <w:rPr>
          <w:b/>
        </w:rPr>
        <w:fldChar w:fldCharType="end"/>
      </w:r>
      <w:r w:rsidRPr="008202C9">
        <w:rPr>
          <w:b/>
        </w:rPr>
        <w:t>.</w:t>
      </w:r>
      <w:r w:rsidR="00D74635" w:rsidRPr="00D74635">
        <w:rPr>
          <w:b/>
        </w:rPr>
        <w:t xml:space="preserve"> </w:t>
      </w:r>
      <w:r w:rsidR="00D74635" w:rsidRPr="0030305A">
        <w:rPr>
          <w:b/>
        </w:rPr>
        <w:t xml:space="preserve">To support mapping NR-PDCCH contiguously </w:t>
      </w:r>
      <w:r w:rsidR="00D74635">
        <w:rPr>
          <w:b/>
        </w:rPr>
        <w:t xml:space="preserve">and non-contiguously </w:t>
      </w:r>
      <w:r w:rsidR="00D74635" w:rsidRPr="0030305A">
        <w:rPr>
          <w:b/>
        </w:rPr>
        <w:t xml:space="preserve">in </w:t>
      </w:r>
      <w:r w:rsidR="00D74635">
        <w:rPr>
          <w:b/>
        </w:rPr>
        <w:t>frequency domain:</w:t>
      </w:r>
    </w:p>
    <w:p w14:paraId="1184F278" w14:textId="754F86A9" w:rsidR="008202C9" w:rsidRPr="0030305A" w:rsidRDefault="008202C9" w:rsidP="008202C9">
      <w:pPr>
        <w:pStyle w:val="bullet"/>
        <w:numPr>
          <w:ilvl w:val="0"/>
          <w:numId w:val="42"/>
        </w:numPr>
        <w:rPr>
          <w:b/>
        </w:rPr>
      </w:pPr>
      <w:r w:rsidRPr="0030305A">
        <w:rPr>
          <w:b/>
        </w:rPr>
        <w:t>To support mapping NR-PDCCH contiguously in frequency domain, localized CCE to REG bundling mapping and localized NR-PDCCH to CCE mapping are used.</w:t>
      </w:r>
    </w:p>
    <w:p w14:paraId="40666007" w14:textId="77777777" w:rsidR="008202C9" w:rsidRPr="0030305A" w:rsidRDefault="008202C9" w:rsidP="008202C9">
      <w:pPr>
        <w:pStyle w:val="bullet"/>
        <w:numPr>
          <w:ilvl w:val="0"/>
          <w:numId w:val="42"/>
        </w:numPr>
        <w:rPr>
          <w:b/>
        </w:rPr>
      </w:pPr>
      <w:r w:rsidRPr="0030305A">
        <w:rPr>
          <w:b/>
        </w:rPr>
        <w:t>To support mapping NR-PDCCH non-contiguously in frequency domain</w:t>
      </w:r>
    </w:p>
    <w:p w14:paraId="5F09043F" w14:textId="391D8634" w:rsidR="008202C9" w:rsidRPr="0030305A" w:rsidRDefault="008202C9" w:rsidP="008202C9">
      <w:pPr>
        <w:pStyle w:val="bullet"/>
        <w:numPr>
          <w:ilvl w:val="1"/>
          <w:numId w:val="42"/>
        </w:numPr>
        <w:rPr>
          <w:b/>
        </w:rPr>
      </w:pPr>
      <w:r w:rsidRPr="0030305A">
        <w:rPr>
          <w:b/>
        </w:rPr>
        <w:t>When there are more than one REG bundles per CCE, distributed CCE to REG bundle mapping is used.</w:t>
      </w:r>
    </w:p>
    <w:p w14:paraId="6F96935F" w14:textId="2F382B06" w:rsidR="008202C9" w:rsidRPr="0030305A" w:rsidRDefault="008202C9" w:rsidP="008202C9">
      <w:pPr>
        <w:pStyle w:val="bullet"/>
        <w:numPr>
          <w:ilvl w:val="1"/>
          <w:numId w:val="42"/>
        </w:numPr>
        <w:rPr>
          <w:b/>
        </w:rPr>
      </w:pPr>
      <w:r w:rsidRPr="0030305A">
        <w:rPr>
          <w:b/>
        </w:rPr>
        <w:t>When there is only one REG bundle per CCE, distributed NR-PDCCH to CCE mapping is used.</w:t>
      </w:r>
    </w:p>
    <w:bookmarkEnd w:id="3"/>
    <w:p w14:paraId="6B62D104" w14:textId="77777777" w:rsidR="008202C9" w:rsidRPr="008202C9" w:rsidRDefault="008202C9" w:rsidP="0075170D">
      <w:pPr>
        <w:rPr>
          <w:lang w:val="en-GB"/>
        </w:rPr>
      </w:pPr>
    </w:p>
    <w:p w14:paraId="29AC984C" w14:textId="0962243D" w:rsidR="001A5517" w:rsidRDefault="008202C9" w:rsidP="0075170D">
      <w:r>
        <w:t xml:space="preserve">For </w:t>
      </w:r>
      <w:r w:rsidRPr="004A70E3">
        <w:t>mapping of NR-PDCCH in time and frequency</w:t>
      </w:r>
      <w:r>
        <w:t>, all 4 combinations of time-first and frequency-first are included in the current agreement.</w:t>
      </w:r>
    </w:p>
    <w:p w14:paraId="31112D7E" w14:textId="77777777" w:rsidR="001A5517" w:rsidRDefault="001A5517" w:rsidP="001A5517">
      <w:r>
        <w:rPr>
          <w:lang w:val="en-GB"/>
        </w:rPr>
        <w:t xml:space="preserve">If there in only one control OFDM symbol, both REG to CCE mapping and the CCE to PDCCH mapping can only be frequency first. However, when there are more than one control OFDM symbol, we have two choices for REG to CCE mapping: </w:t>
      </w:r>
      <w:r w:rsidRPr="00990010">
        <w:t>Frequency first, time second</w:t>
      </w:r>
      <w:r>
        <w:t xml:space="preserve"> or t</w:t>
      </w:r>
      <w:r w:rsidRPr="00990010">
        <w:t>ime first, frequency second</w:t>
      </w:r>
      <w:r>
        <w:t>.</w:t>
      </w:r>
    </w:p>
    <w:p w14:paraId="1514E2A6" w14:textId="0A407959" w:rsidR="001A5517" w:rsidRDefault="001A5517" w:rsidP="0075170D">
      <w:r>
        <w:t>The 4 combinations in the agreement apply for the case with more than one control OFDM symbols.</w:t>
      </w:r>
    </w:p>
    <w:p w14:paraId="6D931D54" w14:textId="62684F15" w:rsidR="001A5517" w:rsidRDefault="001A5517" w:rsidP="001A5517">
      <w:pPr>
        <w:pStyle w:val="bullet"/>
        <w:numPr>
          <w:ilvl w:val="0"/>
          <w:numId w:val="39"/>
        </w:numPr>
      </w:pPr>
      <w:r w:rsidRPr="00450E02">
        <w:t xml:space="preserve">Frequency first </w:t>
      </w:r>
      <w:r>
        <w:t xml:space="preserve">then frequency second </w:t>
      </w:r>
      <w:r w:rsidRPr="00450E02">
        <w:t>– Both REG to CCE mapping and CCE to PDCCH mapping are frequency first</w:t>
      </w:r>
      <w:r>
        <w:t>.</w:t>
      </w:r>
    </w:p>
    <w:p w14:paraId="4B23D01B" w14:textId="7A33C977" w:rsidR="001A5517" w:rsidRPr="00450E02" w:rsidRDefault="001A5517" w:rsidP="001A5517">
      <w:pPr>
        <w:pStyle w:val="bullet"/>
        <w:numPr>
          <w:ilvl w:val="0"/>
          <w:numId w:val="39"/>
        </w:numPr>
      </w:pPr>
      <w:r>
        <w:t>Time first then time second – Both REG to CCE mapping and CCE to PDCCH mapping are time first.</w:t>
      </w:r>
    </w:p>
    <w:p w14:paraId="3FD90079" w14:textId="4560E878" w:rsidR="001A5517" w:rsidRPr="00450E02" w:rsidRDefault="001A5517" w:rsidP="001A5517">
      <w:pPr>
        <w:pStyle w:val="bullet"/>
        <w:numPr>
          <w:ilvl w:val="0"/>
          <w:numId w:val="39"/>
        </w:numPr>
      </w:pPr>
      <w:r w:rsidRPr="00450E02">
        <w:t xml:space="preserve">Time first </w:t>
      </w:r>
      <w:r>
        <w:t>then frequency second</w:t>
      </w:r>
      <w:r w:rsidRPr="00450E02">
        <w:t>– REG to CCE mapping is time first, and CCE to PDCCH mapping goes in frequency direction</w:t>
      </w:r>
      <w:r>
        <w:t>.</w:t>
      </w:r>
    </w:p>
    <w:p w14:paraId="02F3FD99" w14:textId="2F1C8D0D" w:rsidR="001A5517" w:rsidRDefault="001A5517" w:rsidP="001A5517">
      <w:pPr>
        <w:pStyle w:val="bullet"/>
        <w:numPr>
          <w:ilvl w:val="0"/>
          <w:numId w:val="39"/>
        </w:numPr>
      </w:pPr>
      <w:r>
        <w:t xml:space="preserve">Frequency first then time </w:t>
      </w:r>
      <w:r w:rsidR="00B75180">
        <w:t>second</w:t>
      </w:r>
      <w:r w:rsidRPr="00450E02">
        <w:t xml:space="preserve"> – REG to CCE mapping is frequency first, but CCE to PDCCH mapping is time first</w:t>
      </w:r>
      <w:r>
        <w:t>.</w:t>
      </w:r>
    </w:p>
    <w:p w14:paraId="29CCD3E2" w14:textId="1327E404" w:rsidR="008202C9" w:rsidRDefault="0027074B" w:rsidP="0075170D">
      <w:pPr>
        <w:rPr>
          <w:lang w:val="en-GB"/>
        </w:rPr>
      </w:pPr>
      <w:r>
        <w:t xml:space="preserve">Out of the 4 combinations, </w:t>
      </w:r>
      <w:r w:rsidR="001A5517">
        <w:t xml:space="preserve">the time first then time first approach is of the least interest. It only applies to some combinations of the number of control OFDM symbols in the CORESET and the number of REGs in a CCE. For example, 2 control OFDM symbol with 5 REGs per CCE. Due to the irregularity of the design, it will lead to many design and implementation problem and we strong recommend to </w:t>
      </w:r>
      <w:r w:rsidR="00B75180">
        <w:t>not supporting this option.</w:t>
      </w:r>
    </w:p>
    <w:p w14:paraId="06E0897B" w14:textId="471D9DE0" w:rsidR="008E4C61" w:rsidRDefault="00B75180" w:rsidP="00450E02">
      <w:pPr>
        <w:pStyle w:val="bullet"/>
        <w:numPr>
          <w:ilvl w:val="0"/>
          <w:numId w:val="0"/>
        </w:numPr>
      </w:pPr>
      <w:r>
        <w:t>The remaining three</w:t>
      </w:r>
      <w:r w:rsidR="008E4C61">
        <w:t xml:space="preserve"> </w:t>
      </w:r>
      <w:r w:rsidR="0043198C">
        <w:t>different options</w:t>
      </w:r>
      <w:r w:rsidR="008E4C61">
        <w:t xml:space="preserve"> have their pros and cons and are compared in the next table.</w:t>
      </w:r>
    </w:p>
    <w:p w14:paraId="19168164" w14:textId="00CCED2A" w:rsidR="0014082B" w:rsidRDefault="0014082B" w:rsidP="0014082B">
      <w:pPr>
        <w:pStyle w:val="Caption"/>
      </w:pPr>
      <w:r>
        <w:t xml:space="preserve">Table </w:t>
      </w:r>
      <w:fldSimple w:instr=" SEQ Table \* ARABIC ">
        <w:r w:rsidR="00D74635">
          <w:rPr>
            <w:noProof/>
          </w:rPr>
          <w:t>1</w:t>
        </w:r>
      </w:fldSimple>
      <w:r>
        <w:t>. Comparison of different REG to CCE mapping</w:t>
      </w:r>
    </w:p>
    <w:tbl>
      <w:tblPr>
        <w:tblStyle w:val="TableGrid"/>
        <w:tblW w:w="0" w:type="auto"/>
        <w:tblLook w:val="04A0" w:firstRow="1" w:lastRow="0" w:firstColumn="1" w:lastColumn="0" w:noHBand="0" w:noVBand="1"/>
      </w:tblPr>
      <w:tblGrid>
        <w:gridCol w:w="1713"/>
        <w:gridCol w:w="2587"/>
        <w:gridCol w:w="2825"/>
        <w:gridCol w:w="2504"/>
      </w:tblGrid>
      <w:tr w:rsidR="0043198C" w14:paraId="5444EE76" w14:textId="7E0A156B" w:rsidTr="0043198C">
        <w:trPr>
          <w:trHeight w:val="269"/>
        </w:trPr>
        <w:tc>
          <w:tcPr>
            <w:tcW w:w="1713" w:type="dxa"/>
            <w:tcBorders>
              <w:bottom w:val="double" w:sz="4" w:space="0" w:color="auto"/>
            </w:tcBorders>
          </w:tcPr>
          <w:p w14:paraId="1DC1E675" w14:textId="77777777" w:rsidR="0043198C" w:rsidRDefault="0043198C" w:rsidP="00450E02">
            <w:pPr>
              <w:pStyle w:val="bullet"/>
              <w:numPr>
                <w:ilvl w:val="0"/>
                <w:numId w:val="0"/>
              </w:numPr>
            </w:pPr>
          </w:p>
        </w:tc>
        <w:tc>
          <w:tcPr>
            <w:tcW w:w="2587" w:type="dxa"/>
            <w:tcBorders>
              <w:bottom w:val="double" w:sz="4" w:space="0" w:color="auto"/>
            </w:tcBorders>
          </w:tcPr>
          <w:p w14:paraId="32B2C842" w14:textId="17E8F636" w:rsidR="0043198C" w:rsidRDefault="0027074B" w:rsidP="00450E02">
            <w:pPr>
              <w:pStyle w:val="bullet"/>
              <w:numPr>
                <w:ilvl w:val="0"/>
                <w:numId w:val="0"/>
              </w:numPr>
            </w:pPr>
            <w:r w:rsidRPr="00450E02">
              <w:t xml:space="preserve">Frequency first </w:t>
            </w:r>
            <w:r>
              <w:t xml:space="preserve">then frequency </w:t>
            </w:r>
            <w:r w:rsidR="00B75180">
              <w:t>second</w:t>
            </w:r>
          </w:p>
        </w:tc>
        <w:tc>
          <w:tcPr>
            <w:tcW w:w="2825" w:type="dxa"/>
            <w:tcBorders>
              <w:bottom w:val="double" w:sz="4" w:space="0" w:color="auto"/>
            </w:tcBorders>
          </w:tcPr>
          <w:p w14:paraId="0FB956D5" w14:textId="1980FAAC" w:rsidR="0043198C" w:rsidRDefault="0027074B" w:rsidP="00450E02">
            <w:pPr>
              <w:pStyle w:val="bullet"/>
              <w:numPr>
                <w:ilvl w:val="0"/>
                <w:numId w:val="0"/>
              </w:numPr>
            </w:pPr>
            <w:r w:rsidRPr="00450E02">
              <w:t xml:space="preserve">Time first </w:t>
            </w:r>
            <w:r>
              <w:t xml:space="preserve">then frequency </w:t>
            </w:r>
            <w:r w:rsidR="00B75180">
              <w:t>second</w:t>
            </w:r>
          </w:p>
        </w:tc>
        <w:tc>
          <w:tcPr>
            <w:tcW w:w="2504" w:type="dxa"/>
            <w:tcBorders>
              <w:bottom w:val="double" w:sz="4" w:space="0" w:color="auto"/>
            </w:tcBorders>
          </w:tcPr>
          <w:p w14:paraId="63E4947E" w14:textId="34E5F1AD" w:rsidR="0043198C" w:rsidRDefault="0027074B" w:rsidP="00450E02">
            <w:pPr>
              <w:pStyle w:val="bullet"/>
              <w:numPr>
                <w:ilvl w:val="0"/>
                <w:numId w:val="0"/>
              </w:numPr>
            </w:pPr>
            <w:r>
              <w:t xml:space="preserve">Frequency first then time </w:t>
            </w:r>
            <w:r w:rsidR="00B75180">
              <w:t>second</w:t>
            </w:r>
          </w:p>
        </w:tc>
      </w:tr>
      <w:tr w:rsidR="0043198C" w14:paraId="47EE6E34" w14:textId="532191E5" w:rsidTr="0043198C">
        <w:tc>
          <w:tcPr>
            <w:tcW w:w="1713" w:type="dxa"/>
            <w:tcBorders>
              <w:top w:val="double" w:sz="4" w:space="0" w:color="auto"/>
            </w:tcBorders>
          </w:tcPr>
          <w:p w14:paraId="737D10D6" w14:textId="31E3FCC9" w:rsidR="0043198C" w:rsidRDefault="0043198C" w:rsidP="00450E02">
            <w:pPr>
              <w:pStyle w:val="bullet"/>
              <w:numPr>
                <w:ilvl w:val="0"/>
                <w:numId w:val="0"/>
              </w:numPr>
            </w:pPr>
            <w:r>
              <w:t>Frequency diversity</w:t>
            </w:r>
          </w:p>
        </w:tc>
        <w:tc>
          <w:tcPr>
            <w:tcW w:w="2587" w:type="dxa"/>
            <w:tcBorders>
              <w:top w:val="double" w:sz="4" w:space="0" w:color="auto"/>
            </w:tcBorders>
          </w:tcPr>
          <w:p w14:paraId="1FFBD822" w14:textId="34CA1D12" w:rsidR="0043198C" w:rsidRDefault="0043198C" w:rsidP="00450E02">
            <w:pPr>
              <w:pStyle w:val="bullet"/>
              <w:numPr>
                <w:ilvl w:val="0"/>
                <w:numId w:val="0"/>
              </w:numPr>
            </w:pPr>
            <w:r>
              <w:t>Higher frequency diversity</w:t>
            </w:r>
            <w:r w:rsidR="00970E72">
              <w:t>.</w:t>
            </w:r>
          </w:p>
        </w:tc>
        <w:tc>
          <w:tcPr>
            <w:tcW w:w="2825" w:type="dxa"/>
            <w:tcBorders>
              <w:top w:val="double" w:sz="4" w:space="0" w:color="auto"/>
            </w:tcBorders>
          </w:tcPr>
          <w:p w14:paraId="1B9F4388" w14:textId="70004761" w:rsidR="0043198C" w:rsidRDefault="0043198C" w:rsidP="00450E02">
            <w:pPr>
              <w:pStyle w:val="bullet"/>
              <w:numPr>
                <w:ilvl w:val="0"/>
                <w:numId w:val="0"/>
              </w:numPr>
            </w:pPr>
            <w:r>
              <w:t>Lower frequency diversity</w:t>
            </w:r>
            <w:r w:rsidR="00970E72">
              <w:t>.</w:t>
            </w:r>
          </w:p>
        </w:tc>
        <w:tc>
          <w:tcPr>
            <w:tcW w:w="2504" w:type="dxa"/>
            <w:tcBorders>
              <w:top w:val="double" w:sz="4" w:space="0" w:color="auto"/>
            </w:tcBorders>
          </w:tcPr>
          <w:p w14:paraId="49E6DC27" w14:textId="07DFA3E6" w:rsidR="0043198C" w:rsidRDefault="0043198C" w:rsidP="00450E02">
            <w:pPr>
              <w:pStyle w:val="bullet"/>
              <w:numPr>
                <w:ilvl w:val="0"/>
                <w:numId w:val="0"/>
              </w:numPr>
            </w:pPr>
            <w:r>
              <w:t>For AL1, same frequency diversity as frequency first approach. For higher AL, same diversity as the time first approach</w:t>
            </w:r>
            <w:r w:rsidR="00970E72">
              <w:t>.</w:t>
            </w:r>
          </w:p>
        </w:tc>
      </w:tr>
      <w:tr w:rsidR="0043198C" w14:paraId="321C64A5" w14:textId="38989577" w:rsidTr="0043198C">
        <w:tc>
          <w:tcPr>
            <w:tcW w:w="1713" w:type="dxa"/>
          </w:tcPr>
          <w:p w14:paraId="2106AAC4" w14:textId="57B31B6B" w:rsidR="0043198C" w:rsidRDefault="0043198C" w:rsidP="00450E02">
            <w:pPr>
              <w:pStyle w:val="bullet"/>
              <w:numPr>
                <w:ilvl w:val="0"/>
                <w:numId w:val="0"/>
              </w:numPr>
            </w:pPr>
            <w:r>
              <w:t>UE processing timeline friendliness</w:t>
            </w:r>
          </w:p>
        </w:tc>
        <w:tc>
          <w:tcPr>
            <w:tcW w:w="2587" w:type="dxa"/>
          </w:tcPr>
          <w:p w14:paraId="17D1EDEF" w14:textId="769D8711" w:rsidR="0043198C" w:rsidRDefault="0043198C" w:rsidP="00450E02">
            <w:pPr>
              <w:pStyle w:val="bullet"/>
              <w:numPr>
                <w:ilvl w:val="0"/>
                <w:numId w:val="0"/>
              </w:numPr>
            </w:pPr>
            <w:r>
              <w:t xml:space="preserve">Allows early processing such that the receiver does not need to wait for the next control OFDM symbols to dispatch the blind decodings </w:t>
            </w:r>
            <w:r>
              <w:lastRenderedPageBreak/>
              <w:t>for the candidates, if the CCE to PDCCH is also frequency first, and if the DMRS is front loaded</w:t>
            </w:r>
            <w:r w:rsidR="00970E72">
              <w:t>.</w:t>
            </w:r>
          </w:p>
        </w:tc>
        <w:tc>
          <w:tcPr>
            <w:tcW w:w="2825" w:type="dxa"/>
          </w:tcPr>
          <w:p w14:paraId="6BA19D4C" w14:textId="31BCED92" w:rsidR="0043198C" w:rsidRDefault="0043198C" w:rsidP="00450E02">
            <w:pPr>
              <w:pStyle w:val="bullet"/>
              <w:numPr>
                <w:ilvl w:val="0"/>
                <w:numId w:val="0"/>
              </w:numPr>
            </w:pPr>
            <w:r>
              <w:lastRenderedPageBreak/>
              <w:t>Needs to wait for all the control OFDM symbols to be received to dispatch blind decodes.</w:t>
            </w:r>
          </w:p>
        </w:tc>
        <w:tc>
          <w:tcPr>
            <w:tcW w:w="2504" w:type="dxa"/>
          </w:tcPr>
          <w:p w14:paraId="50AAD324" w14:textId="33389F97" w:rsidR="0043198C" w:rsidRDefault="00970E72" w:rsidP="00450E02">
            <w:pPr>
              <w:pStyle w:val="bullet"/>
              <w:numPr>
                <w:ilvl w:val="0"/>
                <w:numId w:val="0"/>
              </w:numPr>
            </w:pPr>
            <w:r>
              <w:t>For AL1, early processing is possible. For larger AL, n</w:t>
            </w:r>
            <w:r w:rsidR="0043198C">
              <w:t xml:space="preserve">eeds to wait for all the control OFDM symbols to </w:t>
            </w:r>
            <w:r w:rsidR="0043198C">
              <w:lastRenderedPageBreak/>
              <w:t>be received to dispatch blind decodes.</w:t>
            </w:r>
          </w:p>
        </w:tc>
      </w:tr>
      <w:tr w:rsidR="0043198C" w14:paraId="2F6DC1C6" w14:textId="4472EEE9" w:rsidTr="0043198C">
        <w:tc>
          <w:tcPr>
            <w:tcW w:w="1713" w:type="dxa"/>
          </w:tcPr>
          <w:p w14:paraId="064DE77C" w14:textId="63AA30D1" w:rsidR="0043198C" w:rsidRDefault="0043198C" w:rsidP="00450E02">
            <w:pPr>
              <w:pStyle w:val="bullet"/>
              <w:numPr>
                <w:ilvl w:val="0"/>
                <w:numId w:val="0"/>
              </w:numPr>
            </w:pPr>
            <w:r>
              <w:lastRenderedPageBreak/>
              <w:t>Front loaded closed loop DMRS support</w:t>
            </w:r>
          </w:p>
        </w:tc>
        <w:tc>
          <w:tcPr>
            <w:tcW w:w="2587" w:type="dxa"/>
          </w:tcPr>
          <w:p w14:paraId="75B635D8" w14:textId="719FBAFF" w:rsidR="0043198C" w:rsidRDefault="0043198C" w:rsidP="00450E02">
            <w:pPr>
              <w:pStyle w:val="bullet"/>
              <w:numPr>
                <w:ilvl w:val="0"/>
                <w:numId w:val="0"/>
              </w:numPr>
            </w:pPr>
            <w:r>
              <w:t>DMRS sharing in PDCCH is not possible if the same PRB in different OFDM symbols are used in decoding candidates of different UEs beamformed differently.</w:t>
            </w:r>
          </w:p>
        </w:tc>
        <w:tc>
          <w:tcPr>
            <w:tcW w:w="2825" w:type="dxa"/>
          </w:tcPr>
          <w:p w14:paraId="6A3C8957" w14:textId="1E481DB8" w:rsidR="0043198C" w:rsidRDefault="0043198C" w:rsidP="00450E02">
            <w:pPr>
              <w:pStyle w:val="bullet"/>
              <w:numPr>
                <w:ilvl w:val="0"/>
                <w:numId w:val="0"/>
              </w:numPr>
            </w:pPr>
            <w:r>
              <w:t>Naturally can reuse</w:t>
            </w:r>
            <w:r w:rsidR="00970E72">
              <w:t>.</w:t>
            </w:r>
          </w:p>
        </w:tc>
        <w:tc>
          <w:tcPr>
            <w:tcW w:w="2504" w:type="dxa"/>
          </w:tcPr>
          <w:p w14:paraId="08442A87" w14:textId="4483E27D" w:rsidR="0043198C" w:rsidRDefault="00970E72" w:rsidP="00450E02">
            <w:pPr>
              <w:pStyle w:val="bullet"/>
              <w:numPr>
                <w:ilvl w:val="0"/>
                <w:numId w:val="0"/>
              </w:numPr>
            </w:pPr>
            <w:r>
              <w:t>For AL1, same problem as frequency first approach. For higher AL, can reuse.</w:t>
            </w:r>
          </w:p>
        </w:tc>
      </w:tr>
      <w:tr w:rsidR="0043198C" w14:paraId="2F3D0C7D" w14:textId="3A203444" w:rsidTr="0043198C">
        <w:tc>
          <w:tcPr>
            <w:tcW w:w="1713" w:type="dxa"/>
          </w:tcPr>
          <w:p w14:paraId="20AF8360" w14:textId="1417C867" w:rsidR="0043198C" w:rsidRPr="0014082B" w:rsidRDefault="0043198C" w:rsidP="00450E02">
            <w:pPr>
              <w:pStyle w:val="bullet"/>
              <w:numPr>
                <w:ilvl w:val="0"/>
                <w:numId w:val="0"/>
              </w:numPr>
            </w:pPr>
            <w:r>
              <w:t>Front loaded open loop DMRS support</w:t>
            </w:r>
          </w:p>
        </w:tc>
        <w:tc>
          <w:tcPr>
            <w:tcW w:w="2587" w:type="dxa"/>
          </w:tcPr>
          <w:p w14:paraId="084FC76E" w14:textId="49E1BA6E" w:rsidR="0043198C" w:rsidRPr="0014082B" w:rsidRDefault="0043198C" w:rsidP="00450E02">
            <w:pPr>
              <w:pStyle w:val="bullet"/>
              <w:numPr>
                <w:ilvl w:val="0"/>
                <w:numId w:val="0"/>
              </w:numPr>
              <w:rPr>
                <w:lang w:val="en-US"/>
              </w:rPr>
            </w:pPr>
            <w:r>
              <w:rPr>
                <w:lang w:val="en-US"/>
              </w:rPr>
              <w:t xml:space="preserve">No problem, as in this case, the DMRS is not beam formed to a particular UE and the </w:t>
            </w:r>
            <w:r>
              <w:t>different decoding candidates of different UEs in different symbols can share the same DMRS</w:t>
            </w:r>
          </w:p>
        </w:tc>
        <w:tc>
          <w:tcPr>
            <w:tcW w:w="2825" w:type="dxa"/>
          </w:tcPr>
          <w:p w14:paraId="77A27A5C" w14:textId="7E8101C2" w:rsidR="0043198C" w:rsidRPr="0014082B" w:rsidRDefault="0043198C" w:rsidP="00450E02">
            <w:pPr>
              <w:pStyle w:val="bullet"/>
              <w:numPr>
                <w:ilvl w:val="0"/>
                <w:numId w:val="0"/>
              </w:numPr>
            </w:pPr>
            <w:r>
              <w:t>No problem</w:t>
            </w:r>
          </w:p>
        </w:tc>
        <w:tc>
          <w:tcPr>
            <w:tcW w:w="2504" w:type="dxa"/>
          </w:tcPr>
          <w:p w14:paraId="0081E987" w14:textId="42AA9A63" w:rsidR="0043198C" w:rsidRDefault="00970E72" w:rsidP="00450E02">
            <w:pPr>
              <w:pStyle w:val="bullet"/>
              <w:numPr>
                <w:ilvl w:val="0"/>
                <w:numId w:val="0"/>
              </w:numPr>
            </w:pPr>
            <w:r>
              <w:t>No problem</w:t>
            </w:r>
          </w:p>
        </w:tc>
      </w:tr>
      <w:tr w:rsidR="0043198C" w14:paraId="32C2ED37" w14:textId="12E884D6" w:rsidTr="0043198C">
        <w:tc>
          <w:tcPr>
            <w:tcW w:w="1713" w:type="dxa"/>
          </w:tcPr>
          <w:p w14:paraId="64DF7BB8" w14:textId="30FE4563" w:rsidR="0043198C" w:rsidRDefault="0043198C" w:rsidP="00450E02">
            <w:pPr>
              <w:pStyle w:val="bullet"/>
              <w:numPr>
                <w:ilvl w:val="0"/>
                <w:numId w:val="0"/>
              </w:numPr>
            </w:pPr>
            <w:r>
              <w:t>Coexistence with group common PDCCH (assume frequency first)</w:t>
            </w:r>
          </w:p>
        </w:tc>
        <w:tc>
          <w:tcPr>
            <w:tcW w:w="2587" w:type="dxa"/>
          </w:tcPr>
          <w:p w14:paraId="6C9A1F34" w14:textId="51BD20BF" w:rsidR="0043198C" w:rsidRDefault="0043198C" w:rsidP="00450E02">
            <w:pPr>
              <w:pStyle w:val="bullet"/>
              <w:numPr>
                <w:ilvl w:val="0"/>
                <w:numId w:val="0"/>
              </w:numPr>
            </w:pPr>
            <w:r>
              <w:t xml:space="preserve">Coexist nicely </w:t>
            </w:r>
          </w:p>
        </w:tc>
        <w:tc>
          <w:tcPr>
            <w:tcW w:w="2825" w:type="dxa"/>
          </w:tcPr>
          <w:p w14:paraId="6FABF42A" w14:textId="74173400" w:rsidR="0043198C" w:rsidRDefault="00970E72" w:rsidP="00450E02">
            <w:pPr>
              <w:pStyle w:val="bullet"/>
              <w:numPr>
                <w:ilvl w:val="0"/>
                <w:numId w:val="0"/>
              </w:numPr>
            </w:pPr>
            <w:r>
              <w:t>Higher</w:t>
            </w:r>
            <w:r w:rsidR="0043198C">
              <w:t xml:space="preserve"> blocking </w:t>
            </w:r>
            <w:r>
              <w:t>probability</w:t>
            </w:r>
          </w:p>
        </w:tc>
        <w:tc>
          <w:tcPr>
            <w:tcW w:w="2504" w:type="dxa"/>
          </w:tcPr>
          <w:p w14:paraId="7D3CC055" w14:textId="3893722B" w:rsidR="0043198C" w:rsidRDefault="00970E72" w:rsidP="00450E02">
            <w:pPr>
              <w:pStyle w:val="bullet"/>
              <w:numPr>
                <w:ilvl w:val="0"/>
                <w:numId w:val="0"/>
              </w:numPr>
            </w:pPr>
            <w:r>
              <w:t>Depends on the AL of the group common PDCCH. If group common PDCCH is AL1, it can coexist with AL1 PDCCH under mixed approach. For higher PDCCH AL, there seems to be problem.</w:t>
            </w:r>
          </w:p>
        </w:tc>
      </w:tr>
      <w:tr w:rsidR="00474DBC" w14:paraId="3D6C3C5B" w14:textId="77777777" w:rsidTr="0043198C">
        <w:tc>
          <w:tcPr>
            <w:tcW w:w="1713" w:type="dxa"/>
          </w:tcPr>
          <w:p w14:paraId="3B8A1C49" w14:textId="7426FA01" w:rsidR="00474DBC" w:rsidRDefault="00474DBC" w:rsidP="00450E02">
            <w:pPr>
              <w:pStyle w:val="bullet"/>
              <w:numPr>
                <w:ilvl w:val="0"/>
                <w:numId w:val="0"/>
              </w:numPr>
            </w:pPr>
            <w:r>
              <w:t>Blind decoding sharing with 1 symbol control</w:t>
            </w:r>
          </w:p>
        </w:tc>
        <w:tc>
          <w:tcPr>
            <w:tcW w:w="2587" w:type="dxa"/>
          </w:tcPr>
          <w:p w14:paraId="3C6BE4FA" w14:textId="5356824D" w:rsidR="00474DBC" w:rsidRDefault="00474DBC" w:rsidP="00450E02">
            <w:pPr>
              <w:pStyle w:val="bullet"/>
              <w:numPr>
                <w:ilvl w:val="0"/>
                <w:numId w:val="0"/>
              </w:numPr>
            </w:pPr>
            <w:r>
              <w:t xml:space="preserve">Naturally shared in the sense </w:t>
            </w:r>
            <w:r w:rsidR="00893773">
              <w:t>decoding candidates under 1 OFDM symbol control is a subset of multiple OFDM symbol control</w:t>
            </w:r>
          </w:p>
        </w:tc>
        <w:tc>
          <w:tcPr>
            <w:tcW w:w="2825" w:type="dxa"/>
          </w:tcPr>
          <w:p w14:paraId="123C171A" w14:textId="139597B9" w:rsidR="00474DBC" w:rsidRDefault="00893773" w:rsidP="00450E02">
            <w:pPr>
              <w:pStyle w:val="bullet"/>
              <w:numPr>
                <w:ilvl w:val="0"/>
                <w:numId w:val="0"/>
              </w:numPr>
            </w:pPr>
            <w:r>
              <w:t>Separate sets of blind decoding under the assumptions of one OFDM symbol control and multiple OFDM symbols control</w:t>
            </w:r>
            <w:r w:rsidR="00845014">
              <w:t>. This may lead to more blind decodings.</w:t>
            </w:r>
          </w:p>
        </w:tc>
        <w:tc>
          <w:tcPr>
            <w:tcW w:w="2504" w:type="dxa"/>
          </w:tcPr>
          <w:p w14:paraId="264EF07A" w14:textId="4A4CC940" w:rsidR="00474DBC" w:rsidRDefault="00893773" w:rsidP="00450E02">
            <w:pPr>
              <w:pStyle w:val="bullet"/>
              <w:numPr>
                <w:ilvl w:val="0"/>
                <w:numId w:val="0"/>
              </w:numPr>
            </w:pPr>
            <w:r>
              <w:t>Only AL1 decoding candidates are shared</w:t>
            </w:r>
          </w:p>
        </w:tc>
      </w:tr>
    </w:tbl>
    <w:p w14:paraId="6A3FDE78" w14:textId="77777777" w:rsidR="008E4C61" w:rsidRPr="00990010" w:rsidRDefault="008E4C61" w:rsidP="00450E02">
      <w:pPr>
        <w:pStyle w:val="bullet"/>
        <w:numPr>
          <w:ilvl w:val="0"/>
          <w:numId w:val="0"/>
        </w:numPr>
      </w:pPr>
    </w:p>
    <w:p w14:paraId="0B6433E9" w14:textId="2247B880" w:rsidR="00CE078A" w:rsidRDefault="00CE078A" w:rsidP="000E564D">
      <w:pPr>
        <w:rPr>
          <w:lang w:val="en-GB"/>
        </w:rPr>
      </w:pPr>
      <w:r>
        <w:rPr>
          <w:lang w:val="en-GB"/>
        </w:rPr>
        <w:t>Since one control OFDM symbol case is always needed, the frequency first CCE to REG mapping followed by frequency first search space candidate to CCE mapping is always needed. On the other hand, if time first CCE to REG mapping followed by frequency first search space candidate to CCE mapping is supported, we will need to solve the problem that under different assumption on the number of control OFDM symbols, different sets of search space candidates need to be decoded, which will lead to larger number of blind decoding. To solve this problem, we propose to restrict the use of this mapping only to the case the number of control OFDM symbol is not dynamically changing. In other words, this mode of mapping is used when there is no dynamic CFI.</w:t>
      </w:r>
    </w:p>
    <w:p w14:paraId="12E5D30D" w14:textId="20E53F62" w:rsidR="000E564D" w:rsidRDefault="00D74635" w:rsidP="000E564D">
      <w:pPr>
        <w:rPr>
          <w:lang w:val="en-GB"/>
        </w:rPr>
      </w:pPr>
      <w:r>
        <w:rPr>
          <w:lang w:val="en-GB"/>
        </w:rPr>
        <w:t>To summarize</w:t>
      </w:r>
      <w:r w:rsidR="00970E72">
        <w:rPr>
          <w:lang w:val="en-GB"/>
        </w:rPr>
        <w:t>, we have the following proposals:</w:t>
      </w:r>
    </w:p>
    <w:p w14:paraId="42CEB78D" w14:textId="034BC5D5" w:rsidR="00CE078A" w:rsidRDefault="00474DBC" w:rsidP="00474DBC">
      <w:pPr>
        <w:rPr>
          <w:b/>
          <w:lang w:val="en-GB"/>
        </w:rPr>
      </w:pPr>
      <w:bookmarkStart w:id="4" w:name="p2"/>
      <w:bookmarkStart w:id="5" w:name="p3"/>
      <w:r w:rsidRPr="00474DBC">
        <w:rPr>
          <w:b/>
          <w:lang w:val="en-GB"/>
        </w:rPr>
        <w:t xml:space="preserve">Proposal </w:t>
      </w:r>
      <w:r w:rsidRPr="00474DBC">
        <w:rPr>
          <w:b/>
          <w:lang w:val="en-GB"/>
        </w:rPr>
        <w:fldChar w:fldCharType="begin"/>
      </w:r>
      <w:r w:rsidRPr="00474DBC">
        <w:rPr>
          <w:b/>
          <w:lang w:val="en-GB"/>
        </w:rPr>
        <w:instrText xml:space="preserve"> seq prop </w:instrText>
      </w:r>
      <w:r w:rsidRPr="00474DBC">
        <w:rPr>
          <w:b/>
          <w:lang w:val="en-GB"/>
        </w:rPr>
        <w:fldChar w:fldCharType="separate"/>
      </w:r>
      <w:r w:rsidR="00D74635">
        <w:rPr>
          <w:b/>
          <w:noProof/>
          <w:lang w:val="en-GB"/>
        </w:rPr>
        <w:t>2</w:t>
      </w:r>
      <w:r w:rsidRPr="00474DBC">
        <w:rPr>
          <w:b/>
          <w:lang w:val="en-GB"/>
        </w:rPr>
        <w:fldChar w:fldCharType="end"/>
      </w:r>
      <w:r w:rsidRPr="00474DBC">
        <w:rPr>
          <w:b/>
          <w:lang w:val="en-GB"/>
        </w:rPr>
        <w:t xml:space="preserve">. </w:t>
      </w:r>
      <w:r w:rsidR="00CE078A">
        <w:rPr>
          <w:b/>
          <w:lang w:val="en-GB"/>
        </w:rPr>
        <w:t>For CCE to REG mapping and search space candidate to CCE mapping combinations:</w:t>
      </w:r>
    </w:p>
    <w:p w14:paraId="074F39C4" w14:textId="7E667ABB" w:rsidR="00CE078A" w:rsidRDefault="00474DBC" w:rsidP="00CE078A">
      <w:pPr>
        <w:pStyle w:val="ListParagraph"/>
        <w:numPr>
          <w:ilvl w:val="0"/>
          <w:numId w:val="43"/>
        </w:numPr>
        <w:rPr>
          <w:b/>
          <w:sz w:val="20"/>
          <w:lang w:val="en-GB"/>
        </w:rPr>
      </w:pPr>
      <w:r w:rsidRPr="00CE078A">
        <w:rPr>
          <w:b/>
          <w:sz w:val="20"/>
          <w:lang w:val="en-GB"/>
        </w:rPr>
        <w:t xml:space="preserve">Frequency first </w:t>
      </w:r>
      <w:r w:rsidR="00CE078A">
        <w:rPr>
          <w:b/>
          <w:sz w:val="20"/>
          <w:lang w:val="en-GB"/>
        </w:rPr>
        <w:t xml:space="preserve">CCE to REG mapping paired with </w:t>
      </w:r>
      <w:r w:rsidR="00B75180" w:rsidRPr="00CE078A">
        <w:rPr>
          <w:b/>
          <w:sz w:val="20"/>
          <w:lang w:val="en-GB"/>
        </w:rPr>
        <w:t xml:space="preserve">frequency </w:t>
      </w:r>
      <w:r w:rsidR="00CE078A">
        <w:rPr>
          <w:b/>
          <w:sz w:val="20"/>
          <w:lang w:val="en-GB"/>
        </w:rPr>
        <w:t>first search space candidate to CCE</w:t>
      </w:r>
      <w:r w:rsidR="00B75180" w:rsidRPr="00CE078A">
        <w:rPr>
          <w:b/>
          <w:sz w:val="20"/>
          <w:lang w:val="en-GB"/>
        </w:rPr>
        <w:t xml:space="preserve"> </w:t>
      </w:r>
      <w:r w:rsidRPr="00CE078A">
        <w:rPr>
          <w:b/>
          <w:sz w:val="20"/>
          <w:lang w:val="en-GB"/>
        </w:rPr>
        <w:t>mapping is supported</w:t>
      </w:r>
    </w:p>
    <w:p w14:paraId="002AF3CF" w14:textId="320E62EB" w:rsidR="00CE078A" w:rsidRDefault="00CE078A" w:rsidP="00CE078A">
      <w:pPr>
        <w:pStyle w:val="ListParagraph"/>
        <w:numPr>
          <w:ilvl w:val="0"/>
          <w:numId w:val="43"/>
        </w:numPr>
        <w:rPr>
          <w:b/>
          <w:sz w:val="20"/>
          <w:lang w:val="en-GB"/>
        </w:rPr>
      </w:pPr>
      <w:r>
        <w:rPr>
          <w:b/>
          <w:sz w:val="20"/>
          <w:lang w:val="en-GB"/>
        </w:rPr>
        <w:t>Time</w:t>
      </w:r>
      <w:r w:rsidRPr="00CE078A">
        <w:rPr>
          <w:b/>
          <w:sz w:val="20"/>
          <w:lang w:val="en-GB"/>
        </w:rPr>
        <w:t xml:space="preserve"> first </w:t>
      </w:r>
      <w:r>
        <w:rPr>
          <w:b/>
          <w:sz w:val="20"/>
          <w:lang w:val="en-GB"/>
        </w:rPr>
        <w:t xml:space="preserve">CCE to REG mapping paired with </w:t>
      </w:r>
      <w:r w:rsidRPr="00CE078A">
        <w:rPr>
          <w:b/>
          <w:sz w:val="20"/>
          <w:lang w:val="en-GB"/>
        </w:rPr>
        <w:t xml:space="preserve">frequency </w:t>
      </w:r>
      <w:r>
        <w:rPr>
          <w:b/>
          <w:sz w:val="20"/>
          <w:lang w:val="en-GB"/>
        </w:rPr>
        <w:t>first search space candidate to CCE</w:t>
      </w:r>
      <w:r w:rsidRPr="00CE078A">
        <w:rPr>
          <w:b/>
          <w:sz w:val="20"/>
          <w:lang w:val="en-GB"/>
        </w:rPr>
        <w:t xml:space="preserve"> mapping is supported</w:t>
      </w:r>
      <w:r>
        <w:rPr>
          <w:b/>
          <w:sz w:val="20"/>
          <w:lang w:val="en-GB"/>
        </w:rPr>
        <w:t xml:space="preserve"> only when there is no dynamic CFI</w:t>
      </w:r>
    </w:p>
    <w:p w14:paraId="5F342F51" w14:textId="07641543" w:rsidR="00D74635" w:rsidRDefault="00D74635" w:rsidP="00D74635">
      <w:pPr>
        <w:pStyle w:val="ListParagraph"/>
        <w:numPr>
          <w:ilvl w:val="0"/>
          <w:numId w:val="43"/>
        </w:numPr>
        <w:rPr>
          <w:b/>
          <w:sz w:val="20"/>
          <w:lang w:val="en-GB"/>
        </w:rPr>
      </w:pPr>
      <w:r w:rsidRPr="00CE078A">
        <w:rPr>
          <w:b/>
          <w:sz w:val="20"/>
          <w:lang w:val="en-GB"/>
        </w:rPr>
        <w:t xml:space="preserve">Frequency first </w:t>
      </w:r>
      <w:r>
        <w:rPr>
          <w:b/>
          <w:sz w:val="20"/>
          <w:lang w:val="en-GB"/>
        </w:rPr>
        <w:t>CCE to REG mapping paired with time</w:t>
      </w:r>
      <w:r w:rsidRPr="00CE078A">
        <w:rPr>
          <w:b/>
          <w:sz w:val="20"/>
          <w:lang w:val="en-GB"/>
        </w:rPr>
        <w:t xml:space="preserve"> </w:t>
      </w:r>
      <w:r>
        <w:rPr>
          <w:b/>
          <w:sz w:val="20"/>
          <w:lang w:val="en-GB"/>
        </w:rPr>
        <w:t>first search space candidate to CCE</w:t>
      </w:r>
      <w:r w:rsidRPr="00CE078A">
        <w:rPr>
          <w:b/>
          <w:sz w:val="20"/>
          <w:lang w:val="en-GB"/>
        </w:rPr>
        <w:t xml:space="preserve"> mapping is</w:t>
      </w:r>
      <w:r>
        <w:rPr>
          <w:b/>
          <w:sz w:val="20"/>
          <w:lang w:val="en-GB"/>
        </w:rPr>
        <w:t xml:space="preserve"> not</w:t>
      </w:r>
      <w:r w:rsidRPr="00CE078A">
        <w:rPr>
          <w:b/>
          <w:sz w:val="20"/>
          <w:lang w:val="en-GB"/>
        </w:rPr>
        <w:t xml:space="preserve"> supported</w:t>
      </w:r>
    </w:p>
    <w:p w14:paraId="6CF5AEF4" w14:textId="4DCBDA6E" w:rsidR="00D74635" w:rsidRPr="00D74635" w:rsidRDefault="00D74635" w:rsidP="00D74635">
      <w:pPr>
        <w:pStyle w:val="ListParagraph"/>
        <w:numPr>
          <w:ilvl w:val="0"/>
          <w:numId w:val="43"/>
        </w:numPr>
        <w:rPr>
          <w:b/>
          <w:sz w:val="20"/>
          <w:lang w:val="en-GB"/>
        </w:rPr>
      </w:pPr>
      <w:r>
        <w:rPr>
          <w:b/>
          <w:sz w:val="20"/>
          <w:lang w:val="en-GB"/>
        </w:rPr>
        <w:lastRenderedPageBreak/>
        <w:t>Time</w:t>
      </w:r>
      <w:r w:rsidRPr="00CE078A">
        <w:rPr>
          <w:b/>
          <w:sz w:val="20"/>
          <w:lang w:val="en-GB"/>
        </w:rPr>
        <w:t xml:space="preserve"> first </w:t>
      </w:r>
      <w:r>
        <w:rPr>
          <w:b/>
          <w:sz w:val="20"/>
          <w:lang w:val="en-GB"/>
        </w:rPr>
        <w:t>CCE to REG mapping paired with time</w:t>
      </w:r>
      <w:r w:rsidRPr="00CE078A">
        <w:rPr>
          <w:b/>
          <w:sz w:val="20"/>
          <w:lang w:val="en-GB"/>
        </w:rPr>
        <w:t xml:space="preserve"> </w:t>
      </w:r>
      <w:r>
        <w:rPr>
          <w:b/>
          <w:sz w:val="20"/>
          <w:lang w:val="en-GB"/>
        </w:rPr>
        <w:t>first search space candidate to CCE</w:t>
      </w:r>
      <w:r w:rsidRPr="00CE078A">
        <w:rPr>
          <w:b/>
          <w:sz w:val="20"/>
          <w:lang w:val="en-GB"/>
        </w:rPr>
        <w:t xml:space="preserve"> mapping is</w:t>
      </w:r>
      <w:r>
        <w:rPr>
          <w:b/>
          <w:sz w:val="20"/>
          <w:lang w:val="en-GB"/>
        </w:rPr>
        <w:t xml:space="preserve"> not</w:t>
      </w:r>
      <w:r w:rsidRPr="00CE078A">
        <w:rPr>
          <w:b/>
          <w:sz w:val="20"/>
          <w:lang w:val="en-GB"/>
        </w:rPr>
        <w:t xml:space="preserve"> supported</w:t>
      </w:r>
    </w:p>
    <w:bookmarkEnd w:id="4"/>
    <w:p w14:paraId="2C969E9E" w14:textId="61E00975" w:rsidR="00CE078A" w:rsidRDefault="00CE078A" w:rsidP="00474DBC">
      <w:pPr>
        <w:rPr>
          <w:b/>
          <w:lang w:val="en-GB"/>
        </w:rPr>
      </w:pPr>
    </w:p>
    <w:bookmarkEnd w:id="5"/>
    <w:p w14:paraId="2F77E7C7" w14:textId="7D7DDEB3" w:rsidR="00491EEE" w:rsidRDefault="004A7390" w:rsidP="00843B71">
      <w:pPr>
        <w:pStyle w:val="Heading1"/>
        <w:jc w:val="both"/>
      </w:pPr>
      <w:r>
        <w:t>3</w:t>
      </w:r>
      <w:r w:rsidR="00491EEE" w:rsidRPr="00E05A22">
        <w:tab/>
        <w:t xml:space="preserve">Conclusions </w:t>
      </w:r>
    </w:p>
    <w:p w14:paraId="5B1E3BE4" w14:textId="5D006487" w:rsidR="00A46F1F" w:rsidRDefault="00474DBC" w:rsidP="00887854">
      <w:pPr>
        <w:rPr>
          <w:lang w:val="en-GB"/>
        </w:rPr>
      </w:pPr>
      <w:r>
        <w:rPr>
          <w:lang w:val="en-GB"/>
        </w:rPr>
        <w:t xml:space="preserve">In this paper, we compared different </w:t>
      </w:r>
      <w:r w:rsidR="004C255D">
        <w:rPr>
          <w:lang w:val="en-GB"/>
        </w:rPr>
        <w:t>options of</w:t>
      </w:r>
      <w:r>
        <w:rPr>
          <w:lang w:val="en-GB"/>
        </w:rPr>
        <w:t xml:space="preserve"> PDCCH </w:t>
      </w:r>
      <w:r w:rsidR="004C255D">
        <w:rPr>
          <w:lang w:val="en-GB"/>
        </w:rPr>
        <w:t>structure</w:t>
      </w:r>
      <w:r>
        <w:rPr>
          <w:lang w:val="en-GB"/>
        </w:rPr>
        <w:t xml:space="preserve"> a</w:t>
      </w:r>
      <w:r w:rsidR="004C255D">
        <w:rPr>
          <w:lang w:val="en-GB"/>
        </w:rPr>
        <w:t>nd have the following proposals:</w:t>
      </w:r>
    </w:p>
    <w:p w14:paraId="7A677F43" w14:textId="32DCDAE5" w:rsidR="00D74635" w:rsidRPr="008202C9" w:rsidRDefault="00D74635" w:rsidP="0030305A">
      <w:pPr>
        <w:rPr>
          <w:b/>
        </w:rPr>
      </w:pPr>
      <w:r>
        <w:rPr>
          <w:lang w:val="en-GB"/>
        </w:rPr>
        <w:fldChar w:fldCharType="begin"/>
      </w:r>
      <w:r>
        <w:rPr>
          <w:lang w:val="en-GB"/>
        </w:rPr>
        <w:instrText xml:space="preserve"> REF p1 \h </w:instrText>
      </w:r>
      <w:r>
        <w:rPr>
          <w:lang w:val="en-GB"/>
        </w:rPr>
      </w:r>
      <w:r>
        <w:rPr>
          <w:lang w:val="en-GB"/>
        </w:rPr>
        <w:fldChar w:fldCharType="separate"/>
      </w:r>
      <w:r w:rsidRPr="008202C9">
        <w:rPr>
          <w:b/>
        </w:rPr>
        <w:t xml:space="preserve">Proposal </w:t>
      </w:r>
      <w:r>
        <w:rPr>
          <w:b/>
          <w:noProof/>
        </w:rPr>
        <w:t>1</w:t>
      </w:r>
      <w:r w:rsidRPr="008202C9">
        <w:rPr>
          <w:b/>
        </w:rPr>
        <w:t>.</w:t>
      </w:r>
      <w:r w:rsidRPr="00D74635">
        <w:rPr>
          <w:b/>
        </w:rPr>
        <w:t xml:space="preserve"> </w:t>
      </w:r>
      <w:r w:rsidRPr="0030305A">
        <w:rPr>
          <w:b/>
        </w:rPr>
        <w:t xml:space="preserve">To support mapping NR-PDCCH contiguously </w:t>
      </w:r>
      <w:r>
        <w:rPr>
          <w:b/>
        </w:rPr>
        <w:t xml:space="preserve">and non-contiguously </w:t>
      </w:r>
      <w:r w:rsidRPr="0030305A">
        <w:rPr>
          <w:b/>
        </w:rPr>
        <w:t xml:space="preserve">in </w:t>
      </w:r>
      <w:r>
        <w:rPr>
          <w:b/>
        </w:rPr>
        <w:t>frequency domain:</w:t>
      </w:r>
    </w:p>
    <w:p w14:paraId="6F8A194F" w14:textId="77777777" w:rsidR="00D74635" w:rsidRPr="0030305A" w:rsidRDefault="00D74635" w:rsidP="008202C9">
      <w:pPr>
        <w:pStyle w:val="bullet"/>
        <w:numPr>
          <w:ilvl w:val="0"/>
          <w:numId w:val="42"/>
        </w:numPr>
        <w:rPr>
          <w:b/>
        </w:rPr>
      </w:pPr>
      <w:r w:rsidRPr="0030305A">
        <w:rPr>
          <w:b/>
        </w:rPr>
        <w:t>To support mapping NR-PDCCH contiguously in frequency domain, localized CCE to REG bundling mapping and localized NR-PDCCH to CCE mapping are used.</w:t>
      </w:r>
    </w:p>
    <w:p w14:paraId="1FF9E22A" w14:textId="77777777" w:rsidR="00D74635" w:rsidRPr="0030305A" w:rsidRDefault="00D74635" w:rsidP="008202C9">
      <w:pPr>
        <w:pStyle w:val="bullet"/>
        <w:numPr>
          <w:ilvl w:val="0"/>
          <w:numId w:val="42"/>
        </w:numPr>
        <w:rPr>
          <w:b/>
        </w:rPr>
      </w:pPr>
      <w:r w:rsidRPr="0030305A">
        <w:rPr>
          <w:b/>
        </w:rPr>
        <w:t>To support mapping NR-PDCCH non-contiguously in frequency domain</w:t>
      </w:r>
    </w:p>
    <w:p w14:paraId="50661F7A" w14:textId="77777777" w:rsidR="00D74635" w:rsidRPr="0030305A" w:rsidRDefault="00D74635" w:rsidP="008202C9">
      <w:pPr>
        <w:pStyle w:val="bullet"/>
        <w:numPr>
          <w:ilvl w:val="1"/>
          <w:numId w:val="42"/>
        </w:numPr>
        <w:rPr>
          <w:b/>
        </w:rPr>
      </w:pPr>
      <w:r w:rsidRPr="0030305A">
        <w:rPr>
          <w:b/>
        </w:rPr>
        <w:t>When there are more than one REG bundles per CCE, distributed CCE to REG bundle mapping is used.</w:t>
      </w:r>
    </w:p>
    <w:p w14:paraId="78D26A54" w14:textId="6517770D" w:rsidR="00D74635" w:rsidRPr="0030305A" w:rsidRDefault="00D74635" w:rsidP="008202C9">
      <w:pPr>
        <w:pStyle w:val="bullet"/>
        <w:numPr>
          <w:ilvl w:val="1"/>
          <w:numId w:val="42"/>
        </w:numPr>
        <w:rPr>
          <w:b/>
        </w:rPr>
      </w:pPr>
      <w:r w:rsidRPr="0030305A">
        <w:rPr>
          <w:b/>
        </w:rPr>
        <w:t>When there is only one REG bundle per CCE, distributed NR-PDCCH to CCE mapping is used.</w:t>
      </w:r>
    </w:p>
    <w:p w14:paraId="722AA97B" w14:textId="309807BE" w:rsidR="00D74635" w:rsidRDefault="00D74635" w:rsidP="00474DBC">
      <w:pPr>
        <w:rPr>
          <w:b/>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Pr="00474DBC">
        <w:rPr>
          <w:b/>
          <w:lang w:val="en-GB"/>
        </w:rPr>
        <w:t xml:space="preserve">Proposal </w:t>
      </w:r>
      <w:r>
        <w:rPr>
          <w:b/>
          <w:noProof/>
          <w:lang w:val="en-GB"/>
        </w:rPr>
        <w:t>2</w:t>
      </w:r>
      <w:r w:rsidRPr="00474DBC">
        <w:rPr>
          <w:b/>
          <w:lang w:val="en-GB"/>
        </w:rPr>
        <w:t xml:space="preserve">. </w:t>
      </w:r>
      <w:r>
        <w:rPr>
          <w:b/>
          <w:lang w:val="en-GB"/>
        </w:rPr>
        <w:t>For CCE to REG mapping and search space candidate to CCE mapping combinations:</w:t>
      </w:r>
    </w:p>
    <w:p w14:paraId="69B4C1E7" w14:textId="77777777" w:rsidR="00D74635" w:rsidRDefault="00D74635" w:rsidP="00CE078A">
      <w:pPr>
        <w:pStyle w:val="ListParagraph"/>
        <w:numPr>
          <w:ilvl w:val="0"/>
          <w:numId w:val="43"/>
        </w:numPr>
        <w:rPr>
          <w:b/>
          <w:sz w:val="20"/>
          <w:lang w:val="en-GB"/>
        </w:rPr>
      </w:pPr>
      <w:r w:rsidRPr="00CE078A">
        <w:rPr>
          <w:b/>
          <w:sz w:val="20"/>
          <w:lang w:val="en-GB"/>
        </w:rPr>
        <w:t xml:space="preserve">Frequency first </w:t>
      </w:r>
      <w:r>
        <w:rPr>
          <w:b/>
          <w:sz w:val="20"/>
          <w:lang w:val="en-GB"/>
        </w:rPr>
        <w:t xml:space="preserve">CCE to REG mapping paired with </w:t>
      </w:r>
      <w:r w:rsidRPr="00CE078A">
        <w:rPr>
          <w:b/>
          <w:sz w:val="20"/>
          <w:lang w:val="en-GB"/>
        </w:rPr>
        <w:t xml:space="preserve">frequency </w:t>
      </w:r>
      <w:r>
        <w:rPr>
          <w:b/>
          <w:sz w:val="20"/>
          <w:lang w:val="en-GB"/>
        </w:rPr>
        <w:t>first search space candidate to CCE</w:t>
      </w:r>
      <w:r w:rsidRPr="00CE078A">
        <w:rPr>
          <w:b/>
          <w:sz w:val="20"/>
          <w:lang w:val="en-GB"/>
        </w:rPr>
        <w:t xml:space="preserve"> mapping is supported</w:t>
      </w:r>
    </w:p>
    <w:p w14:paraId="567F9C40" w14:textId="77777777" w:rsidR="00D74635" w:rsidRDefault="00D74635" w:rsidP="00CE078A">
      <w:pPr>
        <w:pStyle w:val="ListParagraph"/>
        <w:numPr>
          <w:ilvl w:val="0"/>
          <w:numId w:val="43"/>
        </w:numPr>
        <w:rPr>
          <w:b/>
          <w:sz w:val="20"/>
          <w:lang w:val="en-GB"/>
        </w:rPr>
      </w:pPr>
      <w:r>
        <w:rPr>
          <w:b/>
          <w:sz w:val="20"/>
          <w:lang w:val="en-GB"/>
        </w:rPr>
        <w:t>Time</w:t>
      </w:r>
      <w:r w:rsidRPr="00CE078A">
        <w:rPr>
          <w:b/>
          <w:sz w:val="20"/>
          <w:lang w:val="en-GB"/>
        </w:rPr>
        <w:t xml:space="preserve"> first </w:t>
      </w:r>
      <w:r>
        <w:rPr>
          <w:b/>
          <w:sz w:val="20"/>
          <w:lang w:val="en-GB"/>
        </w:rPr>
        <w:t xml:space="preserve">CCE to REG mapping paired with </w:t>
      </w:r>
      <w:r w:rsidRPr="00CE078A">
        <w:rPr>
          <w:b/>
          <w:sz w:val="20"/>
          <w:lang w:val="en-GB"/>
        </w:rPr>
        <w:t xml:space="preserve">frequency </w:t>
      </w:r>
      <w:r>
        <w:rPr>
          <w:b/>
          <w:sz w:val="20"/>
          <w:lang w:val="en-GB"/>
        </w:rPr>
        <w:t>first search space candidate to CCE</w:t>
      </w:r>
      <w:r w:rsidRPr="00CE078A">
        <w:rPr>
          <w:b/>
          <w:sz w:val="20"/>
          <w:lang w:val="en-GB"/>
        </w:rPr>
        <w:t xml:space="preserve"> mapping is supported</w:t>
      </w:r>
      <w:r>
        <w:rPr>
          <w:b/>
          <w:sz w:val="20"/>
          <w:lang w:val="en-GB"/>
        </w:rPr>
        <w:t xml:space="preserve"> only when there is no dynamic CFI</w:t>
      </w:r>
    </w:p>
    <w:p w14:paraId="789A1B36" w14:textId="77777777" w:rsidR="00D74635" w:rsidRDefault="00D74635" w:rsidP="00D74635">
      <w:pPr>
        <w:pStyle w:val="ListParagraph"/>
        <w:numPr>
          <w:ilvl w:val="0"/>
          <w:numId w:val="43"/>
        </w:numPr>
        <w:rPr>
          <w:b/>
          <w:sz w:val="20"/>
          <w:lang w:val="en-GB"/>
        </w:rPr>
      </w:pPr>
      <w:r w:rsidRPr="00CE078A">
        <w:rPr>
          <w:b/>
          <w:sz w:val="20"/>
          <w:lang w:val="en-GB"/>
        </w:rPr>
        <w:t xml:space="preserve">Frequency first </w:t>
      </w:r>
      <w:r>
        <w:rPr>
          <w:b/>
          <w:sz w:val="20"/>
          <w:lang w:val="en-GB"/>
        </w:rPr>
        <w:t>CCE to REG mapping paired with time</w:t>
      </w:r>
      <w:r w:rsidRPr="00CE078A">
        <w:rPr>
          <w:b/>
          <w:sz w:val="20"/>
          <w:lang w:val="en-GB"/>
        </w:rPr>
        <w:t xml:space="preserve"> </w:t>
      </w:r>
      <w:r>
        <w:rPr>
          <w:b/>
          <w:sz w:val="20"/>
          <w:lang w:val="en-GB"/>
        </w:rPr>
        <w:t>first search space candidate to CCE</w:t>
      </w:r>
      <w:r w:rsidRPr="00CE078A">
        <w:rPr>
          <w:b/>
          <w:sz w:val="20"/>
          <w:lang w:val="en-GB"/>
        </w:rPr>
        <w:t xml:space="preserve"> mapping is</w:t>
      </w:r>
      <w:r>
        <w:rPr>
          <w:b/>
          <w:sz w:val="20"/>
          <w:lang w:val="en-GB"/>
        </w:rPr>
        <w:t xml:space="preserve"> not</w:t>
      </w:r>
      <w:r w:rsidRPr="00CE078A">
        <w:rPr>
          <w:b/>
          <w:sz w:val="20"/>
          <w:lang w:val="en-GB"/>
        </w:rPr>
        <w:t xml:space="preserve"> supported</w:t>
      </w:r>
    </w:p>
    <w:p w14:paraId="4B12F043" w14:textId="77777777" w:rsidR="00D74635" w:rsidRPr="00D74635" w:rsidRDefault="00D74635" w:rsidP="00D74635">
      <w:pPr>
        <w:pStyle w:val="ListParagraph"/>
        <w:numPr>
          <w:ilvl w:val="0"/>
          <w:numId w:val="43"/>
        </w:numPr>
        <w:rPr>
          <w:b/>
          <w:sz w:val="20"/>
          <w:lang w:val="en-GB"/>
        </w:rPr>
      </w:pPr>
      <w:r>
        <w:rPr>
          <w:b/>
          <w:sz w:val="20"/>
          <w:lang w:val="en-GB"/>
        </w:rPr>
        <w:t>Time</w:t>
      </w:r>
      <w:r w:rsidRPr="00CE078A">
        <w:rPr>
          <w:b/>
          <w:sz w:val="20"/>
          <w:lang w:val="en-GB"/>
        </w:rPr>
        <w:t xml:space="preserve"> first </w:t>
      </w:r>
      <w:r>
        <w:rPr>
          <w:b/>
          <w:sz w:val="20"/>
          <w:lang w:val="en-GB"/>
        </w:rPr>
        <w:t>CCE to REG mapping paired with time</w:t>
      </w:r>
      <w:r w:rsidRPr="00CE078A">
        <w:rPr>
          <w:b/>
          <w:sz w:val="20"/>
          <w:lang w:val="en-GB"/>
        </w:rPr>
        <w:t xml:space="preserve"> </w:t>
      </w:r>
      <w:r>
        <w:rPr>
          <w:b/>
          <w:sz w:val="20"/>
          <w:lang w:val="en-GB"/>
        </w:rPr>
        <w:t>first search space candidate to CCE</w:t>
      </w:r>
      <w:r w:rsidRPr="00CE078A">
        <w:rPr>
          <w:b/>
          <w:sz w:val="20"/>
          <w:lang w:val="en-GB"/>
        </w:rPr>
        <w:t xml:space="preserve"> mapping is</w:t>
      </w:r>
      <w:r>
        <w:rPr>
          <w:b/>
          <w:sz w:val="20"/>
          <w:lang w:val="en-GB"/>
        </w:rPr>
        <w:t xml:space="preserve"> not</w:t>
      </w:r>
      <w:r w:rsidRPr="00CE078A">
        <w:rPr>
          <w:b/>
          <w:sz w:val="20"/>
          <w:lang w:val="en-GB"/>
        </w:rPr>
        <w:t xml:space="preserve"> supported</w:t>
      </w:r>
    </w:p>
    <w:p w14:paraId="731D85CD" w14:textId="4BC9BC03" w:rsidR="00D74635" w:rsidRDefault="00D74635" w:rsidP="00887854">
      <w:pPr>
        <w:rPr>
          <w:lang w:val="en-GB"/>
        </w:rPr>
      </w:pPr>
      <w:r>
        <w:rPr>
          <w:lang w:val="en-GB"/>
        </w:rPr>
        <w:fldChar w:fldCharType="end"/>
      </w:r>
    </w:p>
    <w:p w14:paraId="49139CCE" w14:textId="5827918E" w:rsidR="00F9419F" w:rsidRPr="000A64D8" w:rsidRDefault="00F9419F" w:rsidP="00B64C5A">
      <w:pPr>
        <w:pStyle w:val="Heading1"/>
        <w:rPr>
          <w:lang w:val="en-US"/>
        </w:rPr>
      </w:pPr>
      <w:r>
        <w:t>4</w:t>
      </w:r>
      <w:r>
        <w:tab/>
      </w:r>
      <w:r w:rsidRPr="00B64C5A">
        <w:t>References</w:t>
      </w:r>
    </w:p>
    <w:p w14:paraId="107362CE" w14:textId="76FF0E1F" w:rsidR="00F9419F" w:rsidRDefault="00F9419F" w:rsidP="00F9419F">
      <w:pPr>
        <w:pStyle w:val="References"/>
      </w:pPr>
      <w:r>
        <w:t>R1-1705602, “Non-contiguous frequency allocation for PDCCH”, Qualcomm Inc.</w:t>
      </w:r>
    </w:p>
    <w:p w14:paraId="0117461B" w14:textId="77777777" w:rsidR="00C77113" w:rsidRPr="00B64C5A" w:rsidRDefault="00C77113" w:rsidP="00FD3822">
      <w:pPr>
        <w:jc w:val="center"/>
      </w:pPr>
    </w:p>
    <w:sectPr w:rsidR="00C77113" w:rsidRPr="00B64C5A"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E5CCE" w14:textId="77777777" w:rsidR="005A359A" w:rsidRDefault="005A359A">
      <w:r>
        <w:separator/>
      </w:r>
    </w:p>
  </w:endnote>
  <w:endnote w:type="continuationSeparator" w:id="0">
    <w:p w14:paraId="7C2E9657" w14:textId="77777777" w:rsidR="005A359A" w:rsidRDefault="005A359A">
      <w:r>
        <w:continuationSeparator/>
      </w:r>
    </w:p>
  </w:endnote>
  <w:endnote w:type="continuationNotice" w:id="1">
    <w:p w14:paraId="1ED052D1" w14:textId="77777777" w:rsidR="005A359A" w:rsidRDefault="005A35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0E564D" w:rsidRDefault="000E564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0E564D" w:rsidRDefault="000E564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24A8DACA" w:rsidR="000E564D" w:rsidRDefault="000E564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64C5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4C5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94A83" w14:textId="77777777" w:rsidR="005A359A" w:rsidRDefault="005A359A">
      <w:r>
        <w:separator/>
      </w:r>
    </w:p>
  </w:footnote>
  <w:footnote w:type="continuationSeparator" w:id="0">
    <w:p w14:paraId="04F5A595" w14:textId="77777777" w:rsidR="005A359A" w:rsidRDefault="005A359A">
      <w:r>
        <w:continuationSeparator/>
      </w:r>
    </w:p>
  </w:footnote>
  <w:footnote w:type="continuationNotice" w:id="1">
    <w:p w14:paraId="047D4526" w14:textId="77777777" w:rsidR="005A359A" w:rsidRDefault="005A35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0E564D" w:rsidRDefault="000E564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70C9F"/>
    <w:multiLevelType w:val="hybridMultilevel"/>
    <w:tmpl w:val="B652D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8"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607E5"/>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4B5C1A"/>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62A31"/>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BA05F7"/>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3852CF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4C452C"/>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167D39"/>
    <w:multiLevelType w:val="hybridMultilevel"/>
    <w:tmpl w:val="090EB8D6"/>
    <w:lvl w:ilvl="0" w:tplc="5C9EB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5"/>
  </w:num>
  <w:num w:numId="2">
    <w:abstractNumId w:val="2"/>
  </w:num>
  <w:num w:numId="3">
    <w:abstractNumId w:val="25"/>
  </w:num>
  <w:num w:numId="4">
    <w:abstractNumId w:val="1"/>
  </w:num>
  <w:num w:numId="5">
    <w:abstractNumId w:val="11"/>
  </w:num>
  <w:num w:numId="6">
    <w:abstractNumId w:val="38"/>
  </w:num>
  <w:num w:numId="7">
    <w:abstractNumId w:val="17"/>
  </w:num>
  <w:num w:numId="8">
    <w:abstractNumId w:val="19"/>
  </w:num>
  <w:num w:numId="9">
    <w:abstractNumId w:val="16"/>
  </w:num>
  <w:num w:numId="10">
    <w:abstractNumId w:val="32"/>
  </w:num>
  <w:num w:numId="11">
    <w:abstractNumId w:val="4"/>
  </w:num>
  <w:num w:numId="12">
    <w:abstractNumId w:val="12"/>
  </w:num>
  <w:num w:numId="13">
    <w:abstractNumId w:val="6"/>
  </w:num>
  <w:num w:numId="14">
    <w:abstractNumId w:val="8"/>
  </w:num>
  <w:num w:numId="15">
    <w:abstractNumId w:val="27"/>
  </w:num>
  <w:num w:numId="16">
    <w:abstractNumId w:val="30"/>
  </w:num>
  <w:num w:numId="17">
    <w:abstractNumId w:val="10"/>
  </w:num>
  <w:num w:numId="18">
    <w:abstractNumId w:val="39"/>
  </w:num>
  <w:num w:numId="19">
    <w:abstractNumId w:val="28"/>
  </w:num>
  <w:num w:numId="20">
    <w:abstractNumId w:val="31"/>
  </w:num>
  <w:num w:numId="21">
    <w:abstractNumId w:val="9"/>
  </w:num>
  <w:num w:numId="22">
    <w:abstractNumId w:val="36"/>
  </w:num>
  <w:num w:numId="23">
    <w:abstractNumId w:val="35"/>
  </w:num>
  <w:num w:numId="24">
    <w:abstractNumId w:val="21"/>
  </w:num>
  <w:num w:numId="25">
    <w:abstractNumId w:val="0"/>
  </w:num>
  <w:num w:numId="26">
    <w:abstractNumId w:val="3"/>
  </w:num>
  <w:num w:numId="27">
    <w:abstractNumId w:val="34"/>
  </w:num>
  <w:num w:numId="28">
    <w:abstractNumId w:val="22"/>
  </w:num>
  <w:num w:numId="29">
    <w:abstractNumId w:val="18"/>
  </w:num>
  <w:num w:numId="30">
    <w:abstractNumId w:val="29"/>
  </w:num>
  <w:num w:numId="31">
    <w:abstractNumId w:val="42"/>
  </w:num>
  <w:num w:numId="32">
    <w:abstractNumId w:val="5"/>
  </w:num>
  <w:num w:numId="33">
    <w:abstractNumId w:val="41"/>
  </w:num>
  <w:num w:numId="34">
    <w:abstractNumId w:val="7"/>
  </w:num>
  <w:num w:numId="35">
    <w:abstractNumId w:val="7"/>
  </w:num>
  <w:num w:numId="36">
    <w:abstractNumId w:val="33"/>
  </w:num>
  <w:num w:numId="37">
    <w:abstractNumId w:val="26"/>
  </w:num>
  <w:num w:numId="38">
    <w:abstractNumId w:val="20"/>
  </w:num>
  <w:num w:numId="39">
    <w:abstractNumId w:val="40"/>
  </w:num>
  <w:num w:numId="40">
    <w:abstractNumId w:val="23"/>
  </w:num>
  <w:num w:numId="41">
    <w:abstractNumId w:val="14"/>
  </w:num>
  <w:num w:numId="42">
    <w:abstractNumId w:val="37"/>
  </w:num>
  <w:num w:numId="43">
    <w:abstractNumId w:val="13"/>
  </w:num>
  <w:num w:numId="44">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5DC9"/>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98C"/>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9A"/>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1B8"/>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980"/>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C5A"/>
    <w:rsid w:val="00B65956"/>
    <w:rsid w:val="00B65E54"/>
    <w:rsid w:val="00B660A0"/>
    <w:rsid w:val="00B67D22"/>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19F"/>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34"/>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paragraph" w:customStyle="1" w:styleId="References">
    <w:name w:val="References"/>
    <w:basedOn w:val="Normal"/>
    <w:rsid w:val="00F9419F"/>
    <w:pPr>
      <w:numPr>
        <w:numId w:val="4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HR33RHYHUWRF-4-2110</_dlc_DocId>
    <_dlc_DocIdUrl xmlns="c06861ca-3f08-4d07-bff7-bb15bac121f4">
      <Url>https://projects.qualcomm.com/sites/pentari/_layouts/15/DocIdRedir.aspx?ID=HR33RHYHUWRF-4-2110</Url>
      <Description>HR33RHYHUWRF-4-2110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191EC14A-22A4-4720-9DC9-3C75443D3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1426</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PDCCH structure</vt:lpstr>
    </vt:vector>
  </TitlesOfParts>
  <Company>Qualcomm Inc.</Company>
  <LinksUpToDate>false</LinksUpToDate>
  <CharactersWithSpaces>9536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PDCCH structure</dc:title>
  <dc:subject/>
  <dc:creator>Qualcomm Europe</dc:creator>
  <cp:keywords/>
  <cp:lastModifiedBy>Heechoon Lee</cp:lastModifiedBy>
  <cp:revision>3</cp:revision>
  <cp:lastPrinted>2010-10-04T23:31:00Z</cp:lastPrinted>
  <dcterms:created xsi:type="dcterms:W3CDTF">2017-03-25T03:58:00Z</dcterms:created>
  <dcterms:modified xsi:type="dcterms:W3CDTF">2017-03-25T04:03:00Z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7a94d48f-40f1-4aae-afcf-79a27d441c3d</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